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tbl>
      <w:tblPr>
        <w:tblStyle w:val="4"/>
        <w:tblW w:w="14752" w:type="dxa"/>
        <w:jc w:val="center"/>
        <w:tblInd w:w="-7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37"/>
        <w:gridCol w:w="1335"/>
        <w:gridCol w:w="1950"/>
        <w:gridCol w:w="3495"/>
        <w:gridCol w:w="2640"/>
        <w:gridCol w:w="2235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475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吕梁市政府对应下放的行政审批项目目录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项目名称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原实施机关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设定依据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省决定下放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市决定处理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工伤认定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各统筹地区人力资源社会保障部门（市）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《工伤保险条例》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（国务院令第375号）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设区的市级、县级人民政府人力资源社会保障行政部门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下放设区的市级、县级人民政府人力资源社会保障行政部门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民办职业培训学校办学许可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县级以上人民政府劳动社会保障行政部门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民办教育促进法》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设区的市级、县级人民政府人力资源社会保障行政部门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下放设区的市级、县级人民政府人力资源社会保障行政部门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05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工伤保险费率审定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各统筹地区工伤保险经办机构（市）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《国务院办公厅关于保留部分非行政许可审批项目的通知》（国办发〔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〕62号）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设区的市级、县级工伤保险经办机构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下放设区的市级、县级工伤保险经办机构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5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改变国有建设用地用途审核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县级以上人民政府土地管理行政部门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《中华人民共和国土地管理法》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设区的市级、县级人民政府国土资源行政部门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吕梁市区城市规划范围内由市国土局审批，各县市由县市国土局审批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-252730</wp:posOffset>
                      </wp:positionH>
                      <wp:positionV relativeFrom="paragraph">
                        <wp:posOffset>1145540</wp:posOffset>
                      </wp:positionV>
                      <wp:extent cx="438150" cy="639445"/>
                      <wp:effectExtent l="4445" t="5080" r="14605" b="222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639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9.9pt;margin-top:90.2pt;height:50.35pt;width:34.5pt;z-index:251663360;mso-width-relative:page;mso-height-relative:page;" stroked="t" coordsize="21600,21600" o:gfxdata="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YD61A2QAAAAoBAAAPAAAAAAAAAAEAIAAA&#10;ACIAAABkcnMvZG93bnJldi54bWxQSwECFAAUAAAACACHTuJAqPLENAsCAAApBAAADgAAAAAAAAAB&#10;ACAAAAAoAQAAZHJzL2Uyb0RvYy54bWxQSwUGAAAAAAYABgBZAQAApQUAAAAA&#10;">
                      <v:path/>
                      <v:fill focussize="0,0"/>
                      <v:stroke color="#FFFFFF"/>
                      <v:imagedata o:title=""/>
                      <o:lock v:ext="edit" grouping="f" rotation="f" text="f" aspectratio="f"/>
                      <v:textbox inset="7.19992125984252pt,3.59992125984252pt,7.19992125984252pt,3.59992125984252pt"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商品房预售许可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县级以上地方人民政府房地产管理部门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《中华人民共和国城市房地产管理法》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设区的市级、县级人民政府房地产管理部门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下放设区的市级、县级人民政府房地产管理部门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24"/>
          <w:szCs w:val="24"/>
          <w:u w:val="none"/>
          <w:lang w:eastAsia="zh-CN"/>
        </w:rPr>
        <w:sectPr>
          <w:footerReference r:id="rId3" w:type="default"/>
          <w:pgSz w:w="16840" w:h="11907" w:orient="landscape"/>
          <w:pgMar w:top="1701" w:right="1701" w:bottom="1474" w:left="1701" w:header="851" w:footer="992" w:gutter="0"/>
          <w:pgNumType w:fmt="numberInDash"/>
          <w:cols w:space="720" w:num="1"/>
          <w:docGrid w:type="lines" w:linePitch="323" w:charSpace="0"/>
        </w:sectPr>
      </w:pPr>
    </w:p>
    <w:tbl>
      <w:tblPr>
        <w:tblStyle w:val="4"/>
        <w:tblW w:w="14610" w:type="dxa"/>
        <w:jc w:val="center"/>
        <w:tblInd w:w="-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95"/>
        <w:gridCol w:w="1335"/>
        <w:gridCol w:w="1950"/>
        <w:gridCol w:w="3495"/>
        <w:gridCol w:w="2640"/>
        <w:gridCol w:w="2235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-635000</wp:posOffset>
                      </wp:positionV>
                      <wp:extent cx="438150" cy="563880"/>
                      <wp:effectExtent l="4445" t="5080" r="14605" b="2159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8.6pt;margin-top:-50pt;height:44.4pt;width:34.5pt;z-index:251664384;mso-width-relative:page;mso-height-relative:page;" stroked="t" coordsize="21600,21600" o:gfxdata="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e9ZjHYAAAACwEAAA8AAAAAAAAAAQAg&#10;AAAAIgAAAGRycy9kb3ducmV2LnhtbFBLAQIUABQAAAAIAIdO4kDpn4HJDgIAACkEAAAOAAAAAAAA&#10;AAEAIAAAACcBAABkcnMvZTJvRG9jLnhtbFBLBQYAAAAABgAGAFkBAACnBQAAAAA=&#10;">
                      <v:path/>
                      <v:fill focussize="0,0"/>
                      <v:stroke color="#FFFFFF"/>
                      <v:imagedata o:title=""/>
                      <o:lock v:ext="edit" grouping="f" rotation="f" text="f" aspectratio="f"/>
                      <v:textbox inset="7.19992125984252pt,3.59992125984252pt,7.19992125984252pt,3.59992125984252pt"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燃气经营者改动市政燃气设施审批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县级以上地方人民政府燃气管理部门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《城镇燃气管理条例》（国务院令第583号）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设区的市级、县级人民政府燃气管理部门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下放设区的市级、县级人民政府燃气管理部门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动物诊疗许可证核发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县级以上人民政府农业行政部门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《中华人民共和国动物防疫法》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县级人民政府农业行政部门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下放县级人民政府农业行政部门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猎捕非国家重点保护陆生野生动物狩猎证核发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市林业局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《中华人民共和国野生动物保护法》《中华人民共和国陆生野生动物保护实施条例》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县级人民政府林业行政部门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下放县级人民政府林业行政部门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林区木材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经营许可证核发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市林业局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《中华人民共和国森林法实施条例》（国务院令第278号）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县级人民政府林业行政部门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下放县级人民政府林业行政部门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林木运输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许可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市林业局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《中华人民共和国森林法》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县级人民政府林业行政部门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下放县级人民政府林业行政部门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饮用水供水单位卫生许可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市卫生局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《中华人民共和国传染病防治法》《国务院对确需保留的行政审批项目设定行政许可的决定》（国务院令第412号）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设区的市级、县级人民政府卫生行政部门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离石区由市卫生局审批，其他县市由当地卫生局审批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饮用水供水单位许可原与公共场所卫生许可为同一许可事项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9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公共场所改、扩建卫生许可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市卫生局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《国务院关于发布〈公共场所卫生管理条例〉的通知》（国发〔1987〕24号）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设区的市级、县级人民政府卫生行政部门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离石区由市卫生局审批，其他县市由当地卫生局审批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公共场所改、扩建卫生许可与公共场所卫生许可为同一许可事项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计划生育技术服务机构设立许可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市人口和计划生育委员会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《计划生育技术服务管理条例》（国务院令第428号）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设区的市级、县级人民政府人口计生行政部门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离石区由市计生委审批，其他县市由当地计生局审批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24"/>
          <w:szCs w:val="24"/>
          <w:u w:val="none"/>
          <w:lang w:eastAsia="zh-CN"/>
        </w:rPr>
        <w:sectPr>
          <w:footerReference r:id="rId4" w:type="default"/>
          <w:pgSz w:w="16840" w:h="11907" w:orient="landscape"/>
          <w:pgMar w:top="1701" w:right="1701" w:bottom="1474" w:left="1701" w:header="851" w:footer="992" w:gutter="0"/>
          <w:pgNumType w:fmt="numberInDash"/>
          <w:cols w:space="720" w:num="1"/>
          <w:docGrid w:type="lines" w:linePitch="323" w:charSpace="0"/>
        </w:sectPr>
      </w:pPr>
    </w:p>
    <w:tbl>
      <w:tblPr>
        <w:tblStyle w:val="4"/>
        <w:tblW w:w="14610" w:type="dxa"/>
        <w:jc w:val="center"/>
        <w:tblInd w:w="-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95"/>
        <w:gridCol w:w="1335"/>
        <w:gridCol w:w="1950"/>
        <w:gridCol w:w="3495"/>
        <w:gridCol w:w="2640"/>
        <w:gridCol w:w="2235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计划生育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技术服务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人员执业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证书核发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市人口和计划生育委员会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《国务院对确需保留的行政审批项目设定行政许可的决定》（国务院令第412号）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设区的市级、县级人民政府人口计生行政部门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离石区由市计生委审批，其他县市由当地计生局审批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合伙企业（煤矿企业）登记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市工商行政管理局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《中华人民共和国合伙企业登记管理办法》（国务院令第497号）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县级工商行政管理部门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县级工商行政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管理部门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个人独资企业登记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市工商行政管理局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个人独资企业法》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县级工商行政管理部门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县级工商行政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管理部门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户外广告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登记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市工商行政管理局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《国务院对确需保留的行政审批项目设定行政许可的决定》（国务院令第412号）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县级工商行政管理部门及设区的市工商行政管理部门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离石区由市工商局审批，其他县市由当地工商局审批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电影放映单位设立、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变更业务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范围或者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兼并、合并、分立审批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县或者设区的市人民政府广播电影电视行政部门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《电影管理条例》（国务院令第342号）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县级人民政府广播电影电视行政部门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下放县级人民政府广播电影电视行政部门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建立城市社区有线电视系统审批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设区的市级人民政府广播电视行政部门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《国务院对确需保留的行政审批项目设定行政许可的决定》（国务院令第412号）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县级人民政府广播电视行政部门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下放县级人民政府广播电影电视行政部门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-271780</wp:posOffset>
                      </wp:positionH>
                      <wp:positionV relativeFrom="paragraph">
                        <wp:posOffset>880110</wp:posOffset>
                      </wp:positionV>
                      <wp:extent cx="438150" cy="485775"/>
                      <wp:effectExtent l="4445" t="4445" r="14605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1.4pt;margin-top:69.3pt;height:38.25pt;width:34.5pt;z-index:251665408;mso-width-relative:page;mso-height-relative:page;" stroked="t" coordsize="21600,21600" o:gfxdata="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xCHMtkAAAAKAQAADwAAAAAAAAABACAA&#10;AAAiAAAAZHJzL2Rvd25yZXYueG1sUEsBAhQAFAAAAAgAh07iQJh4ZZcMAgAAKQQAAA4AAAAAAAAA&#10;AQAgAAAAKAEAAGRycy9lMm9Eb2MueG1sUEsFBgAAAAAGAAYAWQEAAKYFAAAAAA==&#10;">
                      <v:path/>
                      <v:fill focussize="0,0"/>
                      <v:stroke color="#FFFFFF"/>
                      <v:imagedata o:title=""/>
                      <o:lock v:ext="edit" grouping="f" rotation="f" text="f" aspectratio="f"/>
                      <v:textbox inset="7.19992125984252pt,3.59992125984252pt,7.19992125984252pt,3.59992125984252pt"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互联网上网服务营业场所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pacing w:val="-20"/>
                <w:sz w:val="24"/>
                <w:szCs w:val="24"/>
                <w:u w:val="none"/>
                <w:lang w:eastAsia="zh-CN"/>
              </w:rPr>
              <w:t>（直营门店）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设立审批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市文化广电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新闻出版局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《互联网上网服务营业场所管理条例》（国务院令第363号）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县级文化行政部门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下放县级文化行政部门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24"/>
          <w:szCs w:val="24"/>
          <w:u w:val="none"/>
          <w:lang w:eastAsia="zh-CN"/>
        </w:rPr>
        <w:sectPr>
          <w:footerReference r:id="rId5" w:type="default"/>
          <w:pgSz w:w="16840" w:h="11907" w:orient="landscape"/>
          <w:pgMar w:top="1701" w:right="1701" w:bottom="1474" w:left="1701" w:header="851" w:footer="992" w:gutter="0"/>
          <w:pgNumType w:fmt="numberInDash"/>
          <w:cols w:space="720" w:num="1"/>
          <w:docGrid w:type="lines" w:linePitch="323" w:charSpace="0"/>
        </w:sectPr>
      </w:pPr>
    </w:p>
    <w:tbl>
      <w:tblPr>
        <w:tblStyle w:val="4"/>
        <w:tblW w:w="14610" w:type="dxa"/>
        <w:jc w:val="center"/>
        <w:tblInd w:w="-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95"/>
        <w:gridCol w:w="1335"/>
        <w:gridCol w:w="1950"/>
        <w:gridCol w:w="3495"/>
        <w:gridCol w:w="2640"/>
        <w:gridCol w:w="2235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-660400</wp:posOffset>
                      </wp:positionV>
                      <wp:extent cx="438150" cy="561975"/>
                      <wp:effectExtent l="4445" t="4445" r="14605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9.15pt;margin-top:-52pt;height:44.25pt;width:34.5pt;z-index:251666432;mso-width-relative:page;mso-height-relative:page;" stroked="t" coordsize="21600,21600" o:gfxdata="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Ws7p22QAAAAsBAAAPAAAAAAAAAAEAIAAA&#10;ACIAAABkcnMvZG93bnJldi54bWxQSwECFAAUAAAACACHTuJAzNoVjwsCAAApBAAADgAAAAAAAAAB&#10;ACAAAAAoAQAAZHJzL2Uyb0RvYy54bWxQSwUGAAAAAAYABgBZAQAApQUAAAAA&#10;">
                      <v:path/>
                      <v:fill focussize="0,0"/>
                      <v:stroke color="#FFFFFF"/>
                      <v:imagedata o:title=""/>
                      <o:lock v:ext="edit" grouping="f" rotation="f" text="f" aspectratio="f"/>
                      <v:textbox inset="7.19992125984252pt,3.59992125984252pt,7.19992125984252pt,3.59992125984252pt"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专业技术性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强、危险性大及社会影响大的体育项目经营活动许可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县级以上人民政府体育行政部门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《山西省体育经营活动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管理条例》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设区的市级、县级体育行政部门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下放设区的市级、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县级体育行政部门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临时占用公共体育设施审批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县级以上人民政府体育行政部门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《中华人民共和国体育法》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设区的市级、县级体育行政部门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属于市级的市教育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体育局审批，属于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县级的县级教育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体育局审批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已建人防工程报废与拆除批准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市人防办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《中华人民共和国人民防空法》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设区的市级、县级人民防空办公室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吕梁市区城市规划范围内由市人防办审批，各县市由县市人防办审批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 w:ascii="华文中宋" w:eastAsia="华文中宋"/>
        <w:b/>
        <w:sz w:val="44"/>
        <w:szCs w:val="44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0335" cy="131445"/>
              <wp:effectExtent l="0" t="0" r="0" b="0"/>
              <wp:wrapSquare wrapText="bothSides"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11.05pt;mso-position-horizontal:outside;mso-position-horizontal-relative:margin;mso-wrap-distance-bottom:0pt;mso-wrap-distance-left:0pt;mso-wrap-distance-right:0pt;mso-wrap-distance-top:0pt;mso-wrap-style:none;z-index:251662336;mso-width-relative:page;mso-height-relative:page;" filled="f" stroked="f" coordsize="21600,21600" o:gfxdata="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i&#10;sKjTAAAAAwEAAA8AAAAAAAAAAQAgAAAAIgAAAGRycy9kb3ducmV2LnhtbFBLAQIUABQAAAAIAIdO&#10;4kBXVwoctgEAAE0DAAAOAAAAAAAAAAEAIAAAACIBAABkcnMvZTJvRG9jLnhtbFBLBQYAAAAABgAG&#10;AFkBAABK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1pt,0mm,1pt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 w:ascii="华文中宋" w:eastAsia="华文中宋"/>
        <w:b/>
        <w:sz w:val="44"/>
        <w:szCs w:val="44"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0335" cy="131445"/>
              <wp:effectExtent l="0" t="0" r="0" b="0"/>
              <wp:wrapSquare wrapText="bothSides"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11.05pt;mso-position-horizontal:outside;mso-position-horizontal-relative:margin;mso-wrap-distance-bottom:0pt;mso-wrap-distance-left:0pt;mso-wrap-distance-right:0pt;mso-wrap-distance-top:0pt;mso-wrap-style:none;z-index:251665408;mso-width-relative:page;mso-height-relative:page;" filled="f" stroked="f" coordsize="21600,21600" o:gfxdata="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TIrCo&#10;0wAAAAMBAAAPAAAAAAAAAAEAIAAAACIAAABkcnMvZG93bnJldi54bWxQSwECFAAUAAAACACHTuJA&#10;Wv43NLQBAABNAwAADgAAAAAAAAABACAAAAAi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1pt,0mm,1pt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 w:ascii="华文中宋" w:eastAsia="华文中宋"/>
        <w:b/>
        <w:sz w:val="44"/>
        <w:szCs w:val="44"/>
      </w:rPr>
      <mc:AlternateContent>
        <mc:Choice Requires="wps">
          <w:drawing>
            <wp:anchor distT="0" distB="0" distL="0" distR="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0335" cy="131445"/>
              <wp:effectExtent l="0" t="0" r="0" b="0"/>
              <wp:wrapSquare wrapText="bothSides"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11.05pt;mso-position-horizontal:outside;mso-position-horizontal-relative:margin;mso-wrap-distance-bottom:0pt;mso-wrap-distance-left:0pt;mso-wrap-distance-right:0pt;mso-wrap-distance-top:0pt;mso-wrap-style:none;z-index:251666432;mso-width-relative:page;mso-height-relative:page;" filled="f" stroked="f" coordsize="21600,21600" o:gfxdata="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i&#10;sKjTAAAAAwEAAA8AAAAAAAAAAQAgAAAAIgAAAGRycy9kb3ducmV2LnhtbFBLAQIUABQAAAAIAIdO&#10;4kBNBXFMtgEAAE0DAAAOAAAAAAAAAAEAIAAAACIBAABkcnMvZTJvRG9jLnhtbFBLBQYAAAAABgAG&#10;AFkBAABK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1pt,0mm,1pt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84EC5"/>
    <w:rsid w:val="7878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2019-01-04T07:42:00Z</dcterms:created>
  <dc:creator>Administrator</dc:creator>
  <cp:lastModifiedBy>Administrator</cp:lastModifiedBy>
  <dcterms:modified xsi:type="dcterms:W3CDTF">2019-01-04T07:43:12Z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