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E7F6BD">
      <w:pPr>
        <w:pStyle w:val="7"/>
        <w:keepNext w:val="0"/>
        <w:keepLines w:val="0"/>
        <w:pageBreakBefore w:val="0"/>
        <w:widowControl/>
        <w:kinsoku/>
        <w:wordWrap/>
        <w:overflowPunct/>
        <w:topLinePunct w:val="0"/>
        <w:autoSpaceDE/>
        <w:autoSpaceDN/>
        <w:bidi w:val="0"/>
        <w:adjustRightInd/>
        <w:snapToGrid/>
        <w:spacing w:line="580" w:lineRule="exact"/>
        <w:textAlignment w:val="auto"/>
        <w:rPr>
          <w:rFonts w:hint="eastAsia"/>
          <w:color w:val="auto"/>
          <w:u w:val="none"/>
          <w:lang w:val="en-US" w:eastAsia="zh-CN"/>
        </w:rPr>
      </w:pPr>
    </w:p>
    <w:p w14:paraId="046BDCF2">
      <w:pPr>
        <w:pStyle w:val="7"/>
        <w:keepNext w:val="0"/>
        <w:keepLines w:val="0"/>
        <w:pageBreakBefore w:val="0"/>
        <w:widowControl/>
        <w:kinsoku/>
        <w:wordWrap/>
        <w:overflowPunct/>
        <w:topLinePunct w:val="0"/>
        <w:autoSpaceDE/>
        <w:autoSpaceDN/>
        <w:bidi w:val="0"/>
        <w:adjustRightInd/>
        <w:snapToGrid/>
        <w:spacing w:line="580" w:lineRule="exact"/>
        <w:textAlignment w:val="auto"/>
        <w:rPr>
          <w:color w:val="auto"/>
          <w:u w:val="none"/>
        </w:rPr>
      </w:pPr>
      <w:r>
        <w:rPr>
          <w:rFonts w:hint="eastAsia"/>
          <w:color w:val="auto"/>
          <w:u w:val="none"/>
          <w:lang w:val="en-US" w:eastAsia="zh-CN"/>
        </w:rPr>
        <w:t>《吕梁</w:t>
      </w:r>
      <w:r>
        <w:rPr>
          <w:rFonts w:hint="eastAsia"/>
          <w:color w:val="auto"/>
          <w:u w:val="none"/>
        </w:rPr>
        <w:t>市长期护理保险制度实施细则</w:t>
      </w:r>
      <w:r>
        <w:rPr>
          <w:color w:val="auto"/>
          <w:u w:val="none"/>
        </w:rPr>
        <w:t>》</w:t>
      </w:r>
    </w:p>
    <w:p w14:paraId="6FC4A2BA">
      <w:pPr>
        <w:pStyle w:val="7"/>
        <w:pageBreakBefore w:val="0"/>
        <w:widowControl/>
        <w:kinsoku/>
        <w:wordWrap/>
        <w:overflowPunct/>
        <w:topLinePunct w:val="0"/>
        <w:autoSpaceDE/>
        <w:autoSpaceDN/>
        <w:bidi w:val="0"/>
        <w:adjustRightInd/>
        <w:snapToGrid/>
        <w:spacing w:line="580" w:lineRule="exact"/>
        <w:textAlignment w:val="auto"/>
        <w:rPr>
          <w:color w:val="auto"/>
          <w:u w:val="none"/>
        </w:rPr>
      </w:pPr>
      <w:r>
        <w:rPr>
          <w:color w:val="auto"/>
          <w:u w:val="none"/>
        </w:rPr>
        <w:t>起草说明</w:t>
      </w:r>
    </w:p>
    <w:p w14:paraId="3D847859">
      <w:pPr>
        <w:pStyle w:val="2"/>
        <w:pageBreakBefore w:val="0"/>
        <w:widowControl/>
        <w:kinsoku/>
        <w:wordWrap/>
        <w:overflowPunct/>
        <w:topLinePunct w:val="0"/>
        <w:autoSpaceDE/>
        <w:autoSpaceDN/>
        <w:bidi w:val="0"/>
        <w:adjustRightInd/>
        <w:snapToGrid/>
        <w:spacing w:beforeAutospacing="0" w:afterAutospacing="0" w:line="580" w:lineRule="exact"/>
        <w:textAlignment w:val="auto"/>
        <w:rPr>
          <w:color w:val="auto"/>
          <w:u w:val="none"/>
        </w:rPr>
      </w:pPr>
    </w:p>
    <w:p w14:paraId="12D776B4">
      <w:pPr>
        <w:pStyle w:val="2"/>
        <w:pageBreakBefore w:val="0"/>
        <w:widowControl/>
        <w:kinsoku/>
        <w:wordWrap/>
        <w:overflowPunct/>
        <w:topLinePunct w:val="0"/>
        <w:autoSpaceDE/>
        <w:autoSpaceDN/>
        <w:bidi w:val="0"/>
        <w:adjustRightInd/>
        <w:snapToGrid/>
        <w:spacing w:line="580" w:lineRule="exact"/>
        <w:textAlignment w:val="auto"/>
        <w:rPr>
          <w:rFonts w:ascii="Times New Roman" w:hAnsi="Times New Roman" w:eastAsia="仿宋_GB2312" w:cs="仿宋_GB2312"/>
          <w:color w:val="auto"/>
          <w:sz w:val="32"/>
          <w:szCs w:val="32"/>
          <w:u w:val="none"/>
        </w:rPr>
      </w:pPr>
      <w:r>
        <w:rPr>
          <w:rFonts w:ascii="Times New Roman" w:hAnsi="Times New Roman" w:eastAsia="仿宋_GB2312" w:cs="仿宋_GB2312"/>
          <w:color w:val="auto"/>
          <w:sz w:val="32"/>
          <w:szCs w:val="32"/>
          <w:u w:val="none"/>
        </w:rPr>
        <w:t>为</w:t>
      </w:r>
      <w:r>
        <w:rPr>
          <w:rFonts w:hint="eastAsia" w:cs="仿宋_GB2312"/>
          <w:color w:val="auto"/>
          <w:sz w:val="32"/>
          <w:szCs w:val="32"/>
          <w:u w:val="none"/>
          <w:lang w:eastAsia="zh-CN"/>
        </w:rPr>
        <w:t>认真</w:t>
      </w:r>
      <w:r>
        <w:rPr>
          <w:rFonts w:ascii="Times New Roman" w:hAnsi="Times New Roman" w:eastAsia="仿宋_GB2312" w:cs="仿宋_GB2312"/>
          <w:color w:val="auto"/>
          <w:sz w:val="32"/>
          <w:szCs w:val="32"/>
          <w:u w:val="none"/>
        </w:rPr>
        <w:t>贯彻落实党中央、国务院</w:t>
      </w:r>
      <w:r>
        <w:rPr>
          <w:rFonts w:hint="eastAsia" w:cs="仿宋_GB2312"/>
          <w:color w:val="auto"/>
          <w:sz w:val="32"/>
          <w:szCs w:val="32"/>
          <w:u w:val="none"/>
          <w:lang w:eastAsia="zh-CN"/>
        </w:rPr>
        <w:t>以及省委、省政府</w:t>
      </w:r>
      <w:r>
        <w:rPr>
          <w:rFonts w:ascii="Times New Roman" w:hAnsi="Times New Roman" w:eastAsia="仿宋_GB2312" w:cs="仿宋_GB2312"/>
          <w:color w:val="auto"/>
          <w:sz w:val="32"/>
          <w:szCs w:val="32"/>
          <w:u w:val="none"/>
        </w:rPr>
        <w:t>关于加快建立长期护理保险</w:t>
      </w:r>
      <w:r>
        <w:rPr>
          <w:rFonts w:hint="eastAsia" w:cs="仿宋_GB2312"/>
          <w:color w:val="auto"/>
          <w:sz w:val="32"/>
          <w:szCs w:val="32"/>
          <w:u w:val="none"/>
          <w:lang w:eastAsia="zh-CN"/>
        </w:rPr>
        <w:t>（</w:t>
      </w:r>
      <w:r>
        <w:rPr>
          <w:rFonts w:hint="eastAsia" w:cs="仿宋_GB2312"/>
          <w:color w:val="auto"/>
          <w:sz w:val="32"/>
          <w:szCs w:val="32"/>
          <w:u w:val="none"/>
          <w:lang w:val="en-US" w:eastAsia="zh-CN"/>
        </w:rPr>
        <w:t>以下简称“长护险”</w:t>
      </w:r>
      <w:r>
        <w:rPr>
          <w:rFonts w:hint="eastAsia" w:cs="仿宋_GB2312"/>
          <w:color w:val="auto"/>
          <w:sz w:val="32"/>
          <w:szCs w:val="32"/>
          <w:u w:val="none"/>
          <w:lang w:eastAsia="zh-CN"/>
        </w:rPr>
        <w:t>）</w:t>
      </w:r>
      <w:r>
        <w:rPr>
          <w:rFonts w:ascii="Times New Roman" w:hAnsi="Times New Roman" w:eastAsia="仿宋_GB2312" w:cs="仿宋_GB2312"/>
          <w:color w:val="auto"/>
          <w:sz w:val="32"/>
          <w:szCs w:val="32"/>
          <w:u w:val="none"/>
        </w:rPr>
        <w:t>制度的决策部署，积极应对人口老龄化，切实保障</w:t>
      </w:r>
      <w:r>
        <w:rPr>
          <w:rFonts w:hint="eastAsia" w:cs="仿宋_GB2312"/>
          <w:color w:val="auto"/>
          <w:sz w:val="32"/>
          <w:szCs w:val="32"/>
          <w:u w:val="none"/>
          <w:lang w:val="en-US" w:eastAsia="zh-CN"/>
        </w:rPr>
        <w:t>吕梁</w:t>
      </w:r>
      <w:r>
        <w:rPr>
          <w:rFonts w:ascii="Times New Roman" w:hAnsi="Times New Roman" w:eastAsia="仿宋_GB2312" w:cs="仿宋_GB2312"/>
          <w:color w:val="auto"/>
          <w:sz w:val="32"/>
          <w:szCs w:val="32"/>
          <w:u w:val="none"/>
        </w:rPr>
        <w:t>市失能人员基本护理需求，完善社会保障体系，根据《关于印发〈山西省加快建立长期护理保险制度实施方案〉的通知》（厅字〔2025〕33号，以下简称《省级实施方案》）和《关于贯彻落实＜山西省加快建立长期护理保险制度实施方案＞的通知》（晋医保发〔2026〕2号，以下简称《省级贯彻通知》）精神，结合</w:t>
      </w:r>
      <w:r>
        <w:rPr>
          <w:rFonts w:hint="eastAsia" w:cs="仿宋_GB2312"/>
          <w:color w:val="auto"/>
          <w:sz w:val="32"/>
          <w:szCs w:val="32"/>
          <w:u w:val="none"/>
          <w:lang w:val="en-US" w:eastAsia="zh-CN"/>
        </w:rPr>
        <w:t>吕梁</w:t>
      </w:r>
      <w:r>
        <w:rPr>
          <w:rFonts w:ascii="Times New Roman" w:hAnsi="Times New Roman" w:eastAsia="仿宋_GB2312" w:cs="仿宋_GB2312"/>
          <w:color w:val="auto"/>
          <w:sz w:val="32"/>
          <w:szCs w:val="32"/>
          <w:u w:val="none"/>
        </w:rPr>
        <w:t>市经济社会发展实际、人口结构特点及医疗保障工作现状，我们组织起草了《</w:t>
      </w:r>
      <w:r>
        <w:rPr>
          <w:rFonts w:hint="eastAsia" w:cs="仿宋_GB2312"/>
          <w:color w:val="auto"/>
          <w:sz w:val="32"/>
          <w:szCs w:val="32"/>
          <w:u w:val="none"/>
          <w:lang w:val="en-US" w:eastAsia="zh-CN"/>
        </w:rPr>
        <w:t>吕梁</w:t>
      </w:r>
      <w:r>
        <w:rPr>
          <w:rFonts w:ascii="Times New Roman" w:hAnsi="Times New Roman" w:eastAsia="仿宋_GB2312" w:cs="仿宋_GB2312"/>
          <w:color w:val="auto"/>
          <w:sz w:val="32"/>
          <w:szCs w:val="32"/>
          <w:u w:val="none"/>
        </w:rPr>
        <w:t>市长期护理保险制度实施细则》（以下简称《实施细则》）。现将起草有关情况说明如下：</w:t>
      </w:r>
    </w:p>
    <w:p w14:paraId="734F794A">
      <w:pPr>
        <w:pStyle w:val="3"/>
        <w:pageBreakBefore w:val="0"/>
        <w:widowControl/>
        <w:numPr>
          <w:ilvl w:val="0"/>
          <w:numId w:val="0"/>
        </w:numPr>
        <w:kinsoku/>
        <w:wordWrap/>
        <w:overflowPunct/>
        <w:topLinePunct w:val="0"/>
        <w:autoSpaceDE/>
        <w:autoSpaceDN/>
        <w:bidi w:val="0"/>
        <w:adjustRightInd/>
        <w:snapToGrid/>
        <w:spacing w:line="580" w:lineRule="exact"/>
        <w:ind w:left="0" w:leftChars="0" w:firstLine="640"/>
        <w:textAlignment w:val="auto"/>
        <w:rPr>
          <w:rFonts w:hint="eastAsia" w:ascii="Times New Roman" w:hAnsi="Times New Roman" w:eastAsia="仿宋_GB2312" w:cs="仿宋_GB2312"/>
          <w:color w:val="auto"/>
          <w:sz w:val="32"/>
          <w:szCs w:val="32"/>
          <w:u w:val="none"/>
        </w:rPr>
      </w:pPr>
      <w:bookmarkStart w:id="0" w:name="heading_0"/>
      <w:r>
        <w:rPr>
          <w:rFonts w:hint="eastAsia"/>
          <w:color w:val="auto"/>
          <w:u w:val="none"/>
          <w:lang w:eastAsia="zh-CN"/>
        </w:rPr>
        <w:t>一、</w:t>
      </w:r>
      <w:r>
        <w:rPr>
          <w:color w:val="auto"/>
          <w:u w:val="none"/>
        </w:rPr>
        <w:t>起草背景</w:t>
      </w:r>
      <w:bookmarkEnd w:id="0"/>
    </w:p>
    <w:p w14:paraId="0E477440">
      <w:pPr>
        <w:pStyle w:val="2"/>
        <w:pageBreakBefore w:val="0"/>
        <w:widowControl/>
        <w:kinsoku/>
        <w:wordWrap/>
        <w:overflowPunct/>
        <w:topLinePunct w:val="0"/>
        <w:autoSpaceDE/>
        <w:autoSpaceDN/>
        <w:bidi w:val="0"/>
        <w:adjustRightInd/>
        <w:snapToGrid/>
        <w:spacing w:line="580" w:lineRule="exact"/>
        <w:textAlignment w:val="auto"/>
        <w:rPr>
          <w:rFonts w:hint="eastAsia" w:ascii="Times New Roman" w:hAnsi="Times New Roman" w:eastAsia="仿宋_GB2312" w:cs="仿宋_GB2312"/>
          <w:color w:val="auto"/>
          <w:sz w:val="32"/>
          <w:szCs w:val="32"/>
          <w:u w:val="none"/>
        </w:rPr>
      </w:pPr>
      <w:r>
        <w:rPr>
          <w:rFonts w:hint="eastAsia" w:ascii="楷体_GB2312" w:hAnsi="楷体_GB2312" w:eastAsia="楷体_GB2312" w:cs="楷体_GB2312"/>
          <w:color w:val="auto"/>
          <w:sz w:val="32"/>
          <w:szCs w:val="32"/>
          <w:u w:val="none"/>
          <w:lang w:eastAsia="zh-CN"/>
        </w:rPr>
        <w:t>（</w:t>
      </w:r>
      <w:r>
        <w:rPr>
          <w:rFonts w:hint="eastAsia" w:ascii="楷体_GB2312" w:hAnsi="楷体_GB2312" w:eastAsia="楷体_GB2312" w:cs="楷体_GB2312"/>
          <w:color w:val="auto"/>
          <w:sz w:val="32"/>
          <w:szCs w:val="32"/>
          <w:u w:val="none"/>
          <w:lang w:val="en-US" w:eastAsia="zh-CN"/>
        </w:rPr>
        <w:t>一</w:t>
      </w:r>
      <w:r>
        <w:rPr>
          <w:rFonts w:hint="eastAsia" w:ascii="楷体_GB2312" w:hAnsi="楷体_GB2312" w:eastAsia="楷体_GB2312" w:cs="楷体_GB2312"/>
          <w:color w:val="auto"/>
          <w:sz w:val="32"/>
          <w:szCs w:val="32"/>
          <w:u w:val="none"/>
          <w:lang w:eastAsia="zh-CN"/>
        </w:rPr>
        <w:t>）</w:t>
      </w:r>
      <w:r>
        <w:rPr>
          <w:rFonts w:hint="eastAsia" w:ascii="楷体_GB2312" w:hAnsi="楷体_GB2312" w:eastAsia="楷体_GB2312" w:cs="楷体_GB2312"/>
          <w:color w:val="auto"/>
          <w:sz w:val="32"/>
          <w:szCs w:val="32"/>
          <w:u w:val="none"/>
        </w:rPr>
        <w:t>落实国家及省级重大决策部署</w:t>
      </w:r>
      <w:r>
        <w:rPr>
          <w:rFonts w:hint="eastAsia" w:ascii="楷体_GB2312" w:hAnsi="楷体_GB2312" w:eastAsia="楷体_GB2312" w:cs="楷体_GB2312"/>
          <w:color w:val="auto"/>
          <w:sz w:val="32"/>
          <w:szCs w:val="32"/>
          <w:u w:val="none"/>
          <w:lang w:eastAsia="zh-CN"/>
        </w:rPr>
        <w:t>的必然要求。</w:t>
      </w:r>
      <w:r>
        <w:rPr>
          <w:rFonts w:hint="eastAsia" w:ascii="Times New Roman" w:hAnsi="Times New Roman" w:eastAsia="仿宋_GB2312" w:cs="仿宋_GB2312"/>
          <w:color w:val="auto"/>
          <w:sz w:val="32"/>
          <w:szCs w:val="32"/>
          <w:u w:val="none"/>
        </w:rPr>
        <w:t>建立长期护理保险制度是党中央、国务院着眼于应对人口老龄化、健全社会保障体系作出的重大决策部署。</w:t>
      </w:r>
      <w:r>
        <w:rPr>
          <w:rFonts w:hint="eastAsia" w:cs="仿宋_GB2312"/>
          <w:color w:val="auto"/>
          <w:sz w:val="32"/>
          <w:szCs w:val="32"/>
          <w:u w:val="none"/>
          <w:lang w:eastAsia="zh-CN"/>
        </w:rPr>
        <w:t>党的二十大和二十届三中、四中全会</w:t>
      </w:r>
      <w:r>
        <w:rPr>
          <w:rFonts w:hint="eastAsia" w:ascii="Times New Roman" w:hAnsi="Times New Roman" w:eastAsia="仿宋_GB2312" w:cs="仿宋_GB2312"/>
          <w:color w:val="auto"/>
          <w:sz w:val="32"/>
          <w:szCs w:val="32"/>
          <w:u w:val="none"/>
        </w:rPr>
        <w:t>明确提出要“建立”并“加快建立长期护理保险制度”。</w:t>
      </w:r>
      <w:r>
        <w:rPr>
          <w:rFonts w:hint="eastAsia" w:cs="仿宋_GB2312"/>
          <w:color w:val="auto"/>
          <w:sz w:val="32"/>
          <w:szCs w:val="32"/>
          <w:u w:val="none"/>
          <w:lang w:val="en-US" w:eastAsia="zh-CN"/>
        </w:rPr>
        <w:t>我市</w:t>
      </w:r>
      <w:r>
        <w:rPr>
          <w:rFonts w:hint="eastAsia" w:ascii="Times New Roman" w:hAnsi="Times New Roman" w:eastAsia="仿宋_GB2312" w:cs="仿宋_GB2312"/>
          <w:color w:val="auto"/>
          <w:sz w:val="32"/>
          <w:szCs w:val="32"/>
          <w:u w:val="none"/>
        </w:rPr>
        <w:t>起草实施细则，旨在深入贯彻落实党中央、国务院的决策部署，严格对标国家及省级相关专项文件要求，推动制度规范运行和落地落实 。</w:t>
      </w:r>
    </w:p>
    <w:p w14:paraId="6561AE98">
      <w:pPr>
        <w:pStyle w:val="2"/>
        <w:pageBreakBefore w:val="0"/>
        <w:widowControl/>
        <w:kinsoku/>
        <w:wordWrap/>
        <w:overflowPunct/>
        <w:topLinePunct w:val="0"/>
        <w:autoSpaceDE/>
        <w:autoSpaceDN/>
        <w:bidi w:val="0"/>
        <w:adjustRightInd/>
        <w:snapToGrid/>
        <w:spacing w:line="580" w:lineRule="exact"/>
        <w:textAlignment w:val="auto"/>
        <w:rPr>
          <w:rFonts w:hint="eastAsia" w:ascii="Times New Roman" w:hAnsi="Times New Roman" w:eastAsia="仿宋_GB2312" w:cs="仿宋_GB2312"/>
          <w:color w:val="auto"/>
          <w:sz w:val="32"/>
          <w:szCs w:val="32"/>
          <w:u w:val="none"/>
        </w:rPr>
      </w:pPr>
      <w:r>
        <w:rPr>
          <w:rFonts w:hint="eastAsia" w:ascii="楷体_GB2312" w:hAnsi="楷体_GB2312" w:eastAsia="楷体_GB2312" w:cs="楷体_GB2312"/>
          <w:color w:val="auto"/>
          <w:sz w:val="32"/>
          <w:szCs w:val="32"/>
          <w:u w:val="none"/>
          <w:lang w:eastAsia="zh-CN"/>
        </w:rPr>
        <w:t>（</w:t>
      </w:r>
      <w:r>
        <w:rPr>
          <w:rFonts w:hint="eastAsia" w:ascii="楷体_GB2312" w:hAnsi="楷体_GB2312" w:eastAsia="楷体_GB2312" w:cs="楷体_GB2312"/>
          <w:color w:val="auto"/>
          <w:sz w:val="32"/>
          <w:szCs w:val="32"/>
          <w:u w:val="none"/>
          <w:lang w:val="en-US" w:eastAsia="zh-CN"/>
        </w:rPr>
        <w:t>二</w:t>
      </w:r>
      <w:r>
        <w:rPr>
          <w:rFonts w:hint="eastAsia" w:ascii="楷体_GB2312" w:hAnsi="楷体_GB2312" w:eastAsia="楷体_GB2312" w:cs="楷体_GB2312"/>
          <w:color w:val="auto"/>
          <w:sz w:val="32"/>
          <w:szCs w:val="32"/>
          <w:u w:val="none"/>
          <w:lang w:eastAsia="zh-CN"/>
        </w:rPr>
        <w:t>）应对人口老龄化与失能照护严峻形势的有效举措。</w:t>
      </w:r>
      <w:r>
        <w:rPr>
          <w:rFonts w:hint="eastAsia" w:ascii="Times New Roman" w:hAnsi="Times New Roman" w:eastAsia="仿宋_GB2312" w:cs="仿宋_GB2312"/>
          <w:color w:val="auto"/>
          <w:sz w:val="32"/>
          <w:szCs w:val="32"/>
          <w:u w:val="none"/>
        </w:rPr>
        <w:t>随着人口老龄化程度持续加深，老年人口规模扩大，失能、半失能人员数量不断增加。传统家庭结构小型化导致家庭护理功能弱化，“一人失能、全家失衡”的民生难题日益凸显。仅凭家庭力量已难以承载庞大的照护压力，亟需建立专业化、制度化的长期护理保障体系，以减轻失能群众家庭的经济与照料负担。</w:t>
      </w:r>
    </w:p>
    <w:p w14:paraId="765EC2B0">
      <w:pPr>
        <w:pStyle w:val="2"/>
        <w:pageBreakBefore w:val="0"/>
        <w:widowControl/>
        <w:kinsoku/>
        <w:wordWrap/>
        <w:overflowPunct/>
        <w:topLinePunct w:val="0"/>
        <w:autoSpaceDE/>
        <w:autoSpaceDN/>
        <w:bidi w:val="0"/>
        <w:adjustRightInd/>
        <w:snapToGrid/>
        <w:spacing w:line="580" w:lineRule="exact"/>
        <w:textAlignment w:val="auto"/>
        <w:rPr>
          <w:rFonts w:hint="eastAsia" w:ascii="Times New Roman" w:hAnsi="Times New Roman" w:eastAsia="仿宋_GB2312" w:cs="仿宋_GB2312"/>
          <w:color w:val="auto"/>
          <w:sz w:val="32"/>
          <w:szCs w:val="32"/>
          <w:u w:val="none"/>
        </w:rPr>
      </w:pPr>
      <w:r>
        <w:rPr>
          <w:rFonts w:hint="eastAsia" w:ascii="楷体_GB2312" w:hAnsi="楷体_GB2312" w:eastAsia="楷体_GB2312" w:cs="楷体_GB2312"/>
          <w:color w:val="auto"/>
          <w:sz w:val="32"/>
          <w:szCs w:val="32"/>
          <w:u w:val="none"/>
          <w:lang w:eastAsia="zh-CN"/>
        </w:rPr>
        <w:t>（</w:t>
      </w:r>
      <w:r>
        <w:rPr>
          <w:rFonts w:hint="eastAsia" w:ascii="楷体_GB2312" w:hAnsi="楷体_GB2312" w:eastAsia="楷体_GB2312" w:cs="楷体_GB2312"/>
          <w:color w:val="auto"/>
          <w:sz w:val="32"/>
          <w:szCs w:val="32"/>
          <w:u w:val="none"/>
          <w:lang w:val="en-US" w:eastAsia="zh-CN"/>
        </w:rPr>
        <w:t>三</w:t>
      </w:r>
      <w:r>
        <w:rPr>
          <w:rFonts w:hint="eastAsia" w:ascii="楷体_GB2312" w:hAnsi="楷体_GB2312" w:eastAsia="楷体_GB2312" w:cs="楷体_GB2312"/>
          <w:color w:val="auto"/>
          <w:sz w:val="32"/>
          <w:szCs w:val="32"/>
          <w:u w:val="none"/>
          <w:lang w:eastAsia="zh-CN"/>
        </w:rPr>
        <w:t>）补齐多层次社会保障体系短板的根本任务。</w:t>
      </w:r>
      <w:r>
        <w:rPr>
          <w:rFonts w:hint="eastAsia" w:ascii="Times New Roman" w:hAnsi="Times New Roman" w:eastAsia="仿宋_GB2312" w:cs="仿宋_GB2312"/>
          <w:color w:val="auto"/>
          <w:sz w:val="32"/>
          <w:szCs w:val="32"/>
          <w:u w:val="none"/>
        </w:rPr>
        <w:t>现有的基本养老保险、基本医疗保险等制度，主要保障老年人的基本生活开支与疾病医疗费用，无法有效覆盖失能人员日常照料、康复护理、生活帮扶等长期刚性护理需求。建立长期护理保险制度，是补齐养老服务保障短板、实现“老有所养、病有所医、护有所保”民生目标的必然要求 。</w:t>
      </w:r>
    </w:p>
    <w:p w14:paraId="0AF16903">
      <w:pPr>
        <w:pStyle w:val="2"/>
        <w:pageBreakBefore w:val="0"/>
        <w:widowControl/>
        <w:kinsoku/>
        <w:wordWrap/>
        <w:overflowPunct/>
        <w:topLinePunct w:val="0"/>
        <w:autoSpaceDE/>
        <w:autoSpaceDN/>
        <w:bidi w:val="0"/>
        <w:adjustRightInd/>
        <w:snapToGrid/>
        <w:spacing w:line="580" w:lineRule="exact"/>
        <w:ind w:left="0" w:leftChars="0" w:firstLine="616" w:firstLineChars="200"/>
        <w:textAlignment w:val="auto"/>
        <w:rPr>
          <w:rFonts w:hint="eastAsia" w:ascii="Times New Roman" w:hAnsi="Times New Roman" w:eastAsia="仿宋_GB2312" w:cs="仿宋_GB2312"/>
          <w:color w:val="auto"/>
          <w:sz w:val="32"/>
          <w:szCs w:val="32"/>
          <w:u w:val="none"/>
        </w:rPr>
      </w:pPr>
      <w:r>
        <w:rPr>
          <w:rFonts w:hint="eastAsia" w:ascii="楷体_GB2312" w:hAnsi="楷体_GB2312" w:eastAsia="楷体_GB2312" w:cs="楷体_GB2312"/>
          <w:color w:val="auto"/>
          <w:sz w:val="32"/>
          <w:szCs w:val="32"/>
          <w:u w:val="none"/>
          <w:lang w:eastAsia="zh-CN"/>
        </w:rPr>
        <w:t>（</w:t>
      </w:r>
      <w:r>
        <w:rPr>
          <w:rFonts w:hint="eastAsia" w:ascii="楷体_GB2312" w:hAnsi="楷体_GB2312" w:eastAsia="楷体_GB2312" w:cs="楷体_GB2312"/>
          <w:color w:val="auto"/>
          <w:sz w:val="32"/>
          <w:szCs w:val="32"/>
          <w:u w:val="none"/>
          <w:lang w:val="en-US" w:eastAsia="zh-CN"/>
        </w:rPr>
        <w:t>四</w:t>
      </w:r>
      <w:r>
        <w:rPr>
          <w:rFonts w:hint="eastAsia" w:ascii="楷体_GB2312" w:hAnsi="楷体_GB2312" w:eastAsia="楷体_GB2312" w:cs="楷体_GB2312"/>
          <w:color w:val="auto"/>
          <w:sz w:val="32"/>
          <w:szCs w:val="32"/>
          <w:u w:val="none"/>
          <w:lang w:eastAsia="zh-CN"/>
        </w:rPr>
        <w:t>）</w:t>
      </w:r>
      <w:r>
        <w:rPr>
          <w:rFonts w:hint="eastAsia" w:ascii="楷体_GB2312" w:hAnsi="楷体_GB2312" w:eastAsia="楷体_GB2312" w:cs="楷体_GB2312"/>
          <w:color w:val="auto"/>
          <w:sz w:val="32"/>
          <w:szCs w:val="32"/>
          <w:u w:val="none"/>
        </w:rPr>
        <w:t>总结试点经验与完善本地社保体系</w:t>
      </w:r>
      <w:r>
        <w:rPr>
          <w:rFonts w:hint="eastAsia" w:ascii="楷体_GB2312" w:hAnsi="楷体_GB2312" w:eastAsia="楷体_GB2312" w:cs="楷体_GB2312"/>
          <w:color w:val="auto"/>
          <w:sz w:val="32"/>
          <w:szCs w:val="32"/>
          <w:u w:val="none"/>
          <w:lang w:eastAsia="zh-CN"/>
        </w:rPr>
        <w:t>的务实之举。</w:t>
      </w:r>
      <w:r>
        <w:rPr>
          <w:rFonts w:hint="eastAsia" w:ascii="Times New Roman" w:hAnsi="Times New Roman" w:eastAsia="仿宋_GB2312" w:cs="仿宋_GB2312"/>
          <w:color w:val="auto"/>
          <w:sz w:val="32"/>
          <w:szCs w:val="32"/>
          <w:u w:val="none"/>
        </w:rPr>
        <w:t>长期护理保险试点工作启动以来，在筹资机制、失能评估、待遇支付等方面积累了大量可复制、可推广的经验。立足</w:t>
      </w:r>
      <w:r>
        <w:rPr>
          <w:rFonts w:hint="eastAsia" w:ascii="Times New Roman" w:hAnsi="Times New Roman" w:eastAsia="仿宋_GB2312" w:cs="仿宋_GB2312"/>
          <w:color w:val="auto"/>
          <w:sz w:val="32"/>
          <w:szCs w:val="32"/>
          <w:u w:val="none"/>
          <w:lang w:val="en-US" w:eastAsia="zh-CN"/>
        </w:rPr>
        <w:t>全市</w:t>
      </w:r>
      <w:r>
        <w:rPr>
          <w:rFonts w:hint="eastAsia" w:ascii="Times New Roman" w:hAnsi="Times New Roman" w:eastAsia="仿宋_GB2312" w:cs="仿宋_GB2312"/>
          <w:color w:val="auto"/>
          <w:sz w:val="32"/>
          <w:szCs w:val="32"/>
          <w:u w:val="none"/>
        </w:rPr>
        <w:t>经济社会发展实际、人口结构特点及医疗保障工作现状，</w:t>
      </w:r>
      <w:r>
        <w:rPr>
          <w:rFonts w:hint="eastAsia" w:ascii="Times New Roman" w:hAnsi="Times New Roman" w:eastAsia="仿宋_GB2312" w:cs="仿宋_GB2312"/>
          <w:color w:val="auto"/>
          <w:sz w:val="32"/>
          <w:szCs w:val="32"/>
          <w:u w:val="none"/>
          <w:lang w:eastAsia="zh-CN"/>
        </w:rPr>
        <w:t>结合试点经验，</w:t>
      </w:r>
      <w:r>
        <w:rPr>
          <w:rFonts w:hint="eastAsia" w:ascii="Times New Roman" w:hAnsi="Times New Roman" w:eastAsia="仿宋_GB2312" w:cs="仿宋_GB2312"/>
          <w:color w:val="auto"/>
          <w:sz w:val="32"/>
          <w:szCs w:val="32"/>
          <w:u w:val="none"/>
        </w:rPr>
        <w:t>进一步规范参保范围、筹资机制、待遇保障等全流程工作，</w:t>
      </w:r>
      <w:r>
        <w:rPr>
          <w:rFonts w:hint="eastAsia" w:ascii="Times New Roman" w:hAnsi="Times New Roman" w:eastAsia="仿宋_GB2312" w:cs="仿宋_GB2312"/>
          <w:color w:val="auto"/>
          <w:sz w:val="32"/>
          <w:szCs w:val="32"/>
          <w:u w:val="none"/>
          <w:lang w:eastAsia="zh-CN"/>
        </w:rPr>
        <w:t>着力</w:t>
      </w:r>
      <w:r>
        <w:rPr>
          <w:rFonts w:hint="eastAsia" w:ascii="Times New Roman" w:hAnsi="Times New Roman" w:eastAsia="仿宋_GB2312" w:cs="仿宋_GB2312"/>
          <w:color w:val="auto"/>
          <w:sz w:val="32"/>
          <w:szCs w:val="32"/>
          <w:u w:val="none"/>
        </w:rPr>
        <w:t>构建适配本地、公平统一、可持续的长期护理保险制度</w:t>
      </w:r>
      <w:r>
        <w:rPr>
          <w:rFonts w:hint="eastAsia" w:ascii="Times New Roman" w:hAnsi="Times New Roman" w:eastAsia="仿宋_GB2312" w:cs="仿宋_GB2312"/>
          <w:color w:val="auto"/>
          <w:sz w:val="32"/>
          <w:szCs w:val="32"/>
          <w:u w:val="none"/>
          <w:lang w:eastAsia="zh-CN"/>
        </w:rPr>
        <w:t>，更好地保障失能群众</w:t>
      </w:r>
      <w:r>
        <w:rPr>
          <w:rFonts w:hint="eastAsia" w:ascii="Times New Roman" w:hAnsi="Times New Roman" w:eastAsia="仿宋_GB2312" w:cs="仿宋_GB2312"/>
          <w:color w:val="auto"/>
          <w:sz w:val="32"/>
          <w:szCs w:val="32"/>
          <w:u w:val="none"/>
        </w:rPr>
        <w:t>。</w:t>
      </w:r>
    </w:p>
    <w:p w14:paraId="620F1088">
      <w:pPr>
        <w:pStyle w:val="3"/>
        <w:pageBreakBefore w:val="0"/>
        <w:widowControl/>
        <w:numPr>
          <w:ilvl w:val="0"/>
          <w:numId w:val="0"/>
        </w:numPr>
        <w:kinsoku/>
        <w:wordWrap/>
        <w:overflowPunct/>
        <w:topLinePunct w:val="0"/>
        <w:autoSpaceDE/>
        <w:autoSpaceDN/>
        <w:bidi w:val="0"/>
        <w:adjustRightInd/>
        <w:snapToGrid/>
        <w:spacing w:line="580" w:lineRule="exact"/>
        <w:ind w:left="0" w:leftChars="0" w:firstLine="640"/>
        <w:textAlignment w:val="auto"/>
        <w:rPr>
          <w:b w:val="0"/>
          <w:color w:val="auto"/>
          <w:u w:val="none"/>
        </w:rPr>
      </w:pPr>
      <w:bookmarkStart w:id="1" w:name="heading_1"/>
      <w:r>
        <w:rPr>
          <w:rFonts w:hint="eastAsia"/>
          <w:color w:val="auto"/>
          <w:u w:val="none"/>
          <w:lang w:eastAsia="zh-CN"/>
        </w:rPr>
        <w:t>二、</w:t>
      </w:r>
      <w:r>
        <w:rPr>
          <w:color w:val="auto"/>
          <w:u w:val="none"/>
        </w:rPr>
        <w:t>起草依据</w:t>
      </w:r>
      <w:bookmarkEnd w:id="1"/>
    </w:p>
    <w:p w14:paraId="24F41E94">
      <w:pPr>
        <w:pStyle w:val="2"/>
        <w:pageBreakBefore w:val="0"/>
        <w:widowControl/>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《实施细则》严格遵循国家、省相关政策要求，主要依据以下文件起草：</w:t>
      </w:r>
    </w:p>
    <w:p w14:paraId="343F3939">
      <w:pPr>
        <w:pStyle w:val="2"/>
        <w:pageBreakBefore w:val="0"/>
        <w:widowControl/>
        <w:numPr>
          <w:ilvl w:val="0"/>
          <w:numId w:val="0"/>
        </w:numPr>
        <w:kinsoku/>
        <w:wordWrap/>
        <w:overflowPunct/>
        <w:topLinePunct w:val="0"/>
        <w:autoSpaceDE/>
        <w:autoSpaceDN/>
        <w:bidi w:val="0"/>
        <w:adjustRightInd/>
        <w:snapToGrid/>
        <w:spacing w:line="580" w:lineRule="exact"/>
        <w:ind w:left="0" w:leftChars="0" w:firstLine="616"/>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1.《中共中央办公厅 国务院办公厅关于加快建立长期护理保险制度的意见》（</w:t>
      </w:r>
      <w:r>
        <w:rPr>
          <w:rFonts w:hint="eastAsia" w:ascii="仿宋_GB2312" w:hAnsi="仿宋_GB2312" w:eastAsia="仿宋_GB2312" w:cs="仿宋_GB2312"/>
          <w:color w:val="auto"/>
          <w:sz w:val="32"/>
          <w:szCs w:val="32"/>
          <w:u w:val="none"/>
        </w:rPr>
        <w:t>厅字〔2025〕</w:t>
      </w:r>
      <w:r>
        <w:rPr>
          <w:rFonts w:hint="eastAsia" w:ascii="仿宋_GB2312" w:hAnsi="仿宋_GB2312" w:eastAsia="仿宋_GB2312" w:cs="仿宋_GB2312"/>
          <w:color w:val="auto"/>
          <w:sz w:val="32"/>
          <w:szCs w:val="32"/>
          <w:u w:val="none"/>
          <w:lang w:val="en-US" w:eastAsia="zh-CN"/>
        </w:rPr>
        <w:t>19</w:t>
      </w:r>
      <w:r>
        <w:rPr>
          <w:rFonts w:hint="eastAsia" w:ascii="仿宋_GB2312" w:hAnsi="仿宋_GB2312" w:eastAsia="仿宋_GB2312" w:cs="仿宋_GB2312"/>
          <w:color w:val="auto"/>
          <w:sz w:val="32"/>
          <w:szCs w:val="32"/>
          <w:u w:val="none"/>
        </w:rPr>
        <w:t>号</w:t>
      </w:r>
      <w:r>
        <w:rPr>
          <w:rFonts w:hint="eastAsia" w:ascii="仿宋_GB2312" w:hAnsi="仿宋_GB2312" w:eastAsia="仿宋_GB2312" w:cs="仿宋_GB2312"/>
          <w:color w:val="auto"/>
          <w:sz w:val="32"/>
          <w:szCs w:val="32"/>
          <w:u w:val="none"/>
          <w:lang w:val="en-US" w:eastAsia="zh-CN"/>
        </w:rPr>
        <w:t>）；</w:t>
      </w:r>
    </w:p>
    <w:p w14:paraId="644F37F6">
      <w:pPr>
        <w:pStyle w:val="2"/>
        <w:pageBreakBefore w:val="0"/>
        <w:widowControl/>
        <w:numPr>
          <w:ilvl w:val="0"/>
          <w:numId w:val="0"/>
        </w:numPr>
        <w:kinsoku/>
        <w:wordWrap/>
        <w:overflowPunct/>
        <w:topLinePunct w:val="0"/>
        <w:autoSpaceDE/>
        <w:autoSpaceDN/>
        <w:bidi w:val="0"/>
        <w:adjustRightInd/>
        <w:snapToGrid/>
        <w:spacing w:line="580" w:lineRule="exact"/>
        <w:ind w:left="0" w:leftChars="0" w:firstLine="616"/>
        <w:textAlignment w:val="auto"/>
        <w:rPr>
          <w:rFonts w:hint="eastAsia" w:ascii="仿宋_GB2312" w:hAnsi="仿宋_GB2312" w:eastAsia="仿宋_GB2312" w:cs="仿宋_GB2312"/>
          <w:b w:val="0"/>
          <w:color w:val="auto"/>
          <w:sz w:val="32"/>
          <w:szCs w:val="32"/>
          <w:u w:val="none"/>
        </w:rPr>
      </w:pPr>
      <w:r>
        <w:rPr>
          <w:rFonts w:hint="eastAsia" w:ascii="仿宋_GB2312" w:hAnsi="仿宋_GB2312" w:eastAsia="仿宋_GB2312" w:cs="仿宋_GB2312"/>
          <w:color w:val="auto"/>
          <w:sz w:val="32"/>
          <w:szCs w:val="32"/>
          <w:u w:val="none"/>
          <w:lang w:val="en-US" w:eastAsia="zh-CN"/>
        </w:rPr>
        <w:t>2</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rPr>
        <w:t>《中共山西省委办公厅 山西省人民政府办公厅关于印发〈山西省加快建立长期护理保险制度实施方案〉的通知》（厅字〔2025〕33号）；</w:t>
      </w:r>
    </w:p>
    <w:p w14:paraId="1FD7B537">
      <w:pPr>
        <w:pStyle w:val="2"/>
        <w:pageBreakBefore w:val="0"/>
        <w:widowControl/>
        <w:numPr>
          <w:ilvl w:val="0"/>
          <w:numId w:val="0"/>
        </w:numPr>
        <w:kinsoku/>
        <w:wordWrap/>
        <w:overflowPunct/>
        <w:topLinePunct w:val="0"/>
        <w:autoSpaceDE/>
        <w:autoSpaceDN/>
        <w:bidi w:val="0"/>
        <w:adjustRightInd/>
        <w:snapToGrid/>
        <w:spacing w:line="580" w:lineRule="exact"/>
        <w:ind w:left="0" w:leftChars="0" w:firstLine="616"/>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lang w:eastAsia="zh-CN"/>
        </w:rPr>
        <w:t>3.</w:t>
      </w:r>
      <w:r>
        <w:rPr>
          <w:rFonts w:hint="eastAsia" w:ascii="仿宋_GB2312" w:hAnsi="仿宋_GB2312" w:eastAsia="仿宋_GB2312" w:cs="仿宋_GB2312"/>
          <w:color w:val="auto"/>
          <w:spacing w:val="-6"/>
          <w:sz w:val="32"/>
          <w:szCs w:val="32"/>
          <w:u w:val="none"/>
          <w:lang w:eastAsia="zh-CN"/>
        </w:rPr>
        <w:t xml:space="preserve"> </w:t>
      </w:r>
      <w:r>
        <w:rPr>
          <w:rFonts w:hint="eastAsia" w:ascii="仿宋_GB2312" w:hAnsi="仿宋_GB2312" w:eastAsia="仿宋_GB2312" w:cs="仿宋_GB2312"/>
          <w:color w:val="auto"/>
          <w:sz w:val="32"/>
          <w:szCs w:val="32"/>
          <w:u w:val="none"/>
        </w:rPr>
        <w:t>国家</w:t>
      </w:r>
      <w:r>
        <w:rPr>
          <w:rFonts w:hint="eastAsia" w:ascii="仿宋_GB2312" w:hAnsi="仿宋_GB2312" w:eastAsia="仿宋_GB2312" w:cs="仿宋_GB2312"/>
          <w:color w:val="auto"/>
          <w:sz w:val="32"/>
          <w:szCs w:val="32"/>
          <w:u w:val="none"/>
          <w:lang w:val="en-US" w:eastAsia="zh-CN"/>
        </w:rPr>
        <w:t>医疗保障局</w:t>
      </w:r>
      <w:r>
        <w:rPr>
          <w:rFonts w:hint="eastAsia" w:ascii="仿宋_GB2312" w:hAnsi="仿宋_GB2312" w:eastAsia="仿宋_GB2312" w:cs="仿宋_GB2312"/>
          <w:color w:val="auto"/>
          <w:sz w:val="32"/>
          <w:szCs w:val="32"/>
          <w:u w:val="none"/>
        </w:rPr>
        <w:t>等8部门《加快建立长期护理保险制度实施方案》（医保函〔2025〕300号）；</w:t>
      </w:r>
    </w:p>
    <w:p w14:paraId="17A45EC3">
      <w:pPr>
        <w:pStyle w:val="2"/>
        <w:pageBreakBefore w:val="0"/>
        <w:widowControl/>
        <w:numPr>
          <w:ilvl w:val="0"/>
          <w:numId w:val="0"/>
        </w:numPr>
        <w:kinsoku/>
        <w:wordWrap/>
        <w:overflowPunct/>
        <w:topLinePunct w:val="0"/>
        <w:autoSpaceDE/>
        <w:autoSpaceDN/>
        <w:bidi w:val="0"/>
        <w:adjustRightInd/>
        <w:snapToGrid/>
        <w:spacing w:line="580" w:lineRule="exact"/>
        <w:ind w:left="0" w:leftChars="0" w:firstLine="616"/>
        <w:textAlignment w:val="auto"/>
        <w:rPr>
          <w:rFonts w:hint="eastAsia" w:ascii="仿宋_GB2312" w:hAnsi="仿宋_GB2312" w:eastAsia="仿宋_GB2312" w:cs="仿宋_GB2312"/>
          <w:b w:val="0"/>
          <w:color w:val="auto"/>
          <w:sz w:val="32"/>
          <w:szCs w:val="32"/>
          <w:u w:val="none"/>
          <w:lang w:eastAsia="zh-CN"/>
        </w:rPr>
      </w:pPr>
      <w:r>
        <w:rPr>
          <w:rFonts w:hint="eastAsia" w:ascii="仿宋_GB2312" w:hAnsi="仿宋_GB2312" w:eastAsia="仿宋_GB2312" w:cs="仿宋_GB2312"/>
          <w:color w:val="auto"/>
          <w:sz w:val="32"/>
          <w:szCs w:val="32"/>
          <w:u w:val="none"/>
          <w:lang w:val="en-US" w:eastAsia="zh-CN"/>
        </w:rPr>
        <w:t>4.</w:t>
      </w:r>
      <w:r>
        <w:rPr>
          <w:rFonts w:hint="eastAsia" w:ascii="仿宋_GB2312" w:hAnsi="仿宋_GB2312" w:eastAsia="仿宋_GB2312" w:cs="仿宋_GB2312"/>
          <w:color w:val="auto"/>
          <w:sz w:val="32"/>
          <w:szCs w:val="32"/>
          <w:u w:val="none"/>
        </w:rPr>
        <w:t>山西省医疗保障局等8部门《关于贯彻落实〈山西省加快建立长期护理保险制度实施方案〉的通知》（晋医保发〔2026〕2号）</w:t>
      </w:r>
      <w:r>
        <w:rPr>
          <w:rFonts w:hint="eastAsia" w:ascii="仿宋_GB2312" w:hAnsi="仿宋_GB2312" w:eastAsia="仿宋_GB2312" w:cs="仿宋_GB2312"/>
          <w:color w:val="auto"/>
          <w:sz w:val="32"/>
          <w:szCs w:val="32"/>
          <w:u w:val="none"/>
          <w:lang w:eastAsia="zh-CN"/>
        </w:rPr>
        <w:t>。</w:t>
      </w:r>
    </w:p>
    <w:p w14:paraId="31834872">
      <w:pPr>
        <w:pStyle w:val="3"/>
        <w:pageBreakBefore w:val="0"/>
        <w:widowControl/>
        <w:numPr>
          <w:ilvl w:val="0"/>
          <w:numId w:val="0"/>
        </w:numPr>
        <w:kinsoku/>
        <w:wordWrap/>
        <w:overflowPunct/>
        <w:topLinePunct w:val="0"/>
        <w:autoSpaceDE/>
        <w:autoSpaceDN/>
        <w:bidi w:val="0"/>
        <w:adjustRightInd/>
        <w:snapToGrid/>
        <w:spacing w:line="580" w:lineRule="exact"/>
        <w:ind w:left="0" w:leftChars="0" w:firstLine="640"/>
        <w:textAlignment w:val="auto"/>
        <w:rPr>
          <w:b w:val="0"/>
          <w:color w:val="auto"/>
          <w:u w:val="none"/>
        </w:rPr>
      </w:pPr>
      <w:bookmarkStart w:id="2" w:name="heading_2"/>
      <w:r>
        <w:rPr>
          <w:rFonts w:hint="eastAsia"/>
          <w:color w:val="auto"/>
          <w:u w:val="none"/>
          <w:lang w:eastAsia="zh-CN"/>
        </w:rPr>
        <w:t>三、</w:t>
      </w:r>
      <w:r>
        <w:rPr>
          <w:color w:val="auto"/>
          <w:u w:val="none"/>
        </w:rPr>
        <w:t>起草过程</w:t>
      </w:r>
      <w:bookmarkEnd w:id="2"/>
    </w:p>
    <w:p w14:paraId="12C6C729">
      <w:pPr>
        <w:pStyle w:val="2"/>
        <w:pageBreakBefore w:val="0"/>
        <w:widowControl/>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lang w:val="en-US" w:eastAsia="zh-CN"/>
        </w:rPr>
        <w:t>为确保</w:t>
      </w:r>
      <w:r>
        <w:rPr>
          <w:rFonts w:hint="eastAsia" w:ascii="仿宋_GB2312" w:hAnsi="仿宋_GB2312" w:eastAsia="仿宋_GB2312" w:cs="仿宋_GB2312"/>
          <w:color w:val="auto"/>
          <w:sz w:val="32"/>
          <w:szCs w:val="32"/>
          <w:u w:val="none"/>
        </w:rPr>
        <w:t>《实施细则》</w:t>
      </w:r>
      <w:r>
        <w:rPr>
          <w:rFonts w:hint="eastAsia" w:ascii="仿宋_GB2312" w:hAnsi="仿宋_GB2312" w:eastAsia="仿宋_GB2312" w:cs="仿宋_GB2312"/>
          <w:color w:val="auto"/>
          <w:sz w:val="32"/>
          <w:szCs w:val="32"/>
          <w:u w:val="none"/>
          <w:lang w:val="en-US" w:eastAsia="zh-CN"/>
        </w:rPr>
        <w:t>贴合吕梁实际，</w:t>
      </w:r>
      <w:r>
        <w:rPr>
          <w:rFonts w:hint="eastAsia" w:ascii="仿宋_GB2312" w:hAnsi="仿宋_GB2312" w:eastAsia="仿宋_GB2312" w:cs="仿宋_GB2312"/>
          <w:color w:val="auto"/>
          <w:sz w:val="32"/>
          <w:szCs w:val="32"/>
          <w:u w:val="none"/>
        </w:rPr>
        <w:t>具有可操作性，</w:t>
      </w:r>
      <w:r>
        <w:rPr>
          <w:rFonts w:hint="eastAsia" w:ascii="仿宋_GB2312" w:hAnsi="仿宋_GB2312" w:eastAsia="仿宋_GB2312" w:cs="仿宋_GB2312"/>
          <w:color w:val="auto"/>
          <w:sz w:val="32"/>
          <w:szCs w:val="32"/>
          <w:u w:val="none"/>
          <w:lang w:val="en-US" w:eastAsia="zh-CN"/>
        </w:rPr>
        <w:t>我们</w:t>
      </w:r>
      <w:r>
        <w:rPr>
          <w:rFonts w:hint="eastAsia" w:ascii="仿宋_GB2312" w:hAnsi="仿宋_GB2312" w:eastAsia="仿宋_GB2312" w:cs="仿宋_GB2312"/>
          <w:color w:val="auto"/>
          <w:sz w:val="32"/>
          <w:szCs w:val="32"/>
          <w:u w:val="none"/>
        </w:rPr>
        <w:t>按照“调研摸底</w:t>
      </w:r>
      <w:r>
        <w:rPr>
          <w:rFonts w:hint="eastAsia" w:ascii="仿宋_GB2312" w:hAnsi="仿宋_GB2312" w:eastAsia="仿宋_GB2312" w:cs="仿宋_GB2312"/>
          <w:color w:val="auto"/>
          <w:sz w:val="32"/>
          <w:szCs w:val="32"/>
          <w:u w:val="none"/>
          <w:lang w:val="en-US" w:eastAsia="zh-CN"/>
        </w:rPr>
        <w:t>—</w:t>
      </w:r>
      <w:r>
        <w:rPr>
          <w:rFonts w:hint="eastAsia" w:ascii="仿宋_GB2312" w:hAnsi="仿宋_GB2312" w:eastAsia="仿宋_GB2312" w:cs="仿宋_GB2312"/>
          <w:color w:val="auto"/>
          <w:sz w:val="32"/>
          <w:szCs w:val="32"/>
          <w:u w:val="none"/>
        </w:rPr>
        <w:t>起草初稿—征求意见—修改完善”的</w:t>
      </w:r>
      <w:r>
        <w:rPr>
          <w:rFonts w:hint="eastAsia" w:ascii="仿宋_GB2312" w:hAnsi="仿宋_GB2312" w:eastAsia="仿宋_GB2312" w:cs="仿宋_GB2312"/>
          <w:color w:val="auto"/>
          <w:sz w:val="32"/>
          <w:szCs w:val="32"/>
          <w:u w:val="none"/>
          <w:lang w:val="en-US" w:eastAsia="zh-CN"/>
        </w:rPr>
        <w:t>流程进行，历经四个月的时间，初步形成了目前的送审稿</w:t>
      </w:r>
      <w:r>
        <w:rPr>
          <w:rFonts w:hint="eastAsia" w:ascii="仿宋_GB2312" w:hAnsi="仿宋_GB2312" w:eastAsia="仿宋_GB2312" w:cs="仿宋_GB2312"/>
          <w:color w:val="auto"/>
          <w:sz w:val="32"/>
          <w:szCs w:val="32"/>
          <w:u w:val="none"/>
        </w:rPr>
        <w:t>。</w:t>
      </w:r>
    </w:p>
    <w:p w14:paraId="0541EF8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textAlignment w:val="baseline"/>
        <w:rPr>
          <w:rFonts w:hint="default" w:ascii="Arial" w:hAnsi="Arial" w:cs="Arial"/>
          <w:i w:val="0"/>
          <w:iCs w:val="0"/>
          <w:caps w:val="0"/>
          <w:color w:val="000000"/>
          <w:spacing w:val="0"/>
          <w:sz w:val="32"/>
          <w:szCs w:val="32"/>
        </w:rPr>
      </w:pPr>
      <w:r>
        <w:rPr>
          <w:rStyle w:val="10"/>
          <w:rFonts w:hint="eastAsia" w:eastAsia="楷体_GB2312"/>
          <w:color w:val="auto"/>
          <w:u w:val="none"/>
          <w:lang w:eastAsia="zh-CN"/>
        </w:rPr>
        <w:t>（一）</w:t>
      </w:r>
      <w:r>
        <w:rPr>
          <w:rStyle w:val="10"/>
          <w:color w:val="auto"/>
          <w:u w:val="none"/>
        </w:rPr>
        <w:t>开展调研摸底</w:t>
      </w:r>
      <w:r>
        <w:rPr>
          <w:rFonts w:ascii="Times New Roman" w:hAnsi="Times New Roman" w:eastAsia="仿宋_GB2312" w:cs="仿宋_GB2312"/>
          <w:color w:val="auto"/>
          <w:sz w:val="32"/>
          <w:szCs w:val="32"/>
          <w:u w:val="none"/>
        </w:rPr>
        <w:t>。</w:t>
      </w:r>
      <w:r>
        <w:rPr>
          <w:rFonts w:hint="eastAsia" w:ascii="仿宋_GB2312" w:hAnsi="Arial" w:eastAsia="仿宋_GB2312" w:cs="仿宋_GB2312"/>
          <w:i w:val="0"/>
          <w:iCs w:val="0"/>
          <w:caps w:val="0"/>
          <w:color w:val="000000"/>
          <w:spacing w:val="0"/>
          <w:sz w:val="32"/>
          <w:szCs w:val="32"/>
          <w:shd w:val="clear" w:fill="FFFFFF"/>
          <w:vertAlign w:val="baseline"/>
        </w:rPr>
        <w:t>组织开展对</w:t>
      </w:r>
      <w:r>
        <w:rPr>
          <w:rFonts w:hint="eastAsia" w:ascii="仿宋_GB2312" w:hAnsi="Arial" w:eastAsia="仿宋_GB2312" w:cs="仿宋_GB2312"/>
          <w:i w:val="0"/>
          <w:iCs w:val="0"/>
          <w:caps w:val="0"/>
          <w:color w:val="000000"/>
          <w:spacing w:val="0"/>
          <w:sz w:val="32"/>
          <w:szCs w:val="32"/>
          <w:shd w:val="clear" w:fill="FFFFFF"/>
          <w:vertAlign w:val="baseline"/>
          <w:lang w:val="en-US" w:eastAsia="zh-CN"/>
        </w:rPr>
        <w:t>我</w:t>
      </w:r>
      <w:r>
        <w:rPr>
          <w:rFonts w:hint="eastAsia" w:ascii="仿宋_GB2312" w:hAnsi="Arial" w:eastAsia="仿宋_GB2312" w:cs="仿宋_GB2312"/>
          <w:i w:val="0"/>
          <w:iCs w:val="0"/>
          <w:caps w:val="0"/>
          <w:color w:val="000000"/>
          <w:spacing w:val="0"/>
          <w:sz w:val="32"/>
          <w:szCs w:val="32"/>
          <w:shd w:val="clear" w:fill="FFFFFF"/>
          <w:vertAlign w:val="baseline"/>
        </w:rPr>
        <w:t>市</w:t>
      </w:r>
      <w:r>
        <w:rPr>
          <w:rFonts w:hint="eastAsia" w:ascii="仿宋_GB2312" w:hAnsi="Arial" w:eastAsia="仿宋_GB2312" w:cs="仿宋_GB2312"/>
          <w:i w:val="0"/>
          <w:iCs w:val="0"/>
          <w:caps w:val="0"/>
          <w:color w:val="000000"/>
          <w:spacing w:val="0"/>
          <w:sz w:val="32"/>
          <w:szCs w:val="32"/>
          <w:shd w:val="clear" w:fill="FFFFFF"/>
          <w:vertAlign w:val="baseline"/>
          <w:lang w:val="en-US" w:eastAsia="zh-CN"/>
        </w:rPr>
        <w:t>常住人口、</w:t>
      </w:r>
      <w:r>
        <w:rPr>
          <w:rFonts w:hint="eastAsia" w:ascii="仿宋_GB2312" w:hAnsi="Arial" w:eastAsia="仿宋_GB2312" w:cs="仿宋_GB2312"/>
          <w:i w:val="0"/>
          <w:iCs w:val="0"/>
          <w:caps w:val="0"/>
          <w:color w:val="000000"/>
          <w:spacing w:val="0"/>
          <w:sz w:val="32"/>
          <w:szCs w:val="32"/>
          <w:shd w:val="clear" w:fill="FFFFFF"/>
          <w:vertAlign w:val="baseline"/>
        </w:rPr>
        <w:t>失能人员数量、分布、护理需求，以及医疗机构、养老机构、护理服务机构现状，职工医保、居民医保基金运行情况等摸底工作，组织开展</w:t>
      </w:r>
      <w:r>
        <w:rPr>
          <w:rFonts w:hint="eastAsia" w:ascii="仿宋_GB2312" w:hAnsi="Arial" w:eastAsia="仿宋_GB2312" w:cs="仿宋_GB2312"/>
          <w:i w:val="0"/>
          <w:iCs w:val="0"/>
          <w:caps w:val="0"/>
          <w:color w:val="000000"/>
          <w:spacing w:val="0"/>
          <w:sz w:val="32"/>
          <w:szCs w:val="32"/>
          <w:shd w:val="clear" w:fill="FFFFFF"/>
          <w:vertAlign w:val="baseline"/>
          <w:lang w:val="en-US" w:eastAsia="zh-CN"/>
        </w:rPr>
        <w:t>吕梁</w:t>
      </w:r>
      <w:r>
        <w:rPr>
          <w:rFonts w:hint="eastAsia" w:ascii="仿宋_GB2312" w:hAnsi="Arial" w:eastAsia="仿宋_GB2312" w:cs="仿宋_GB2312"/>
          <w:i w:val="0"/>
          <w:iCs w:val="0"/>
          <w:caps w:val="0"/>
          <w:color w:val="000000"/>
          <w:spacing w:val="0"/>
          <w:sz w:val="32"/>
          <w:szCs w:val="32"/>
          <w:shd w:val="clear" w:fill="FFFFFF"/>
          <w:vertAlign w:val="baseline"/>
        </w:rPr>
        <w:t>市长期护理保险基金中长期（2027-2036年）测算分析，为《实施细则》起草提供数据支撑和政策制定依据。</w:t>
      </w:r>
    </w:p>
    <w:p w14:paraId="54E2C74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both"/>
        <w:textAlignment w:val="baseline"/>
        <w:rPr>
          <w:rFonts w:hint="eastAsia" w:ascii="仿宋_GB2312" w:hAnsi="仿宋_GB2312" w:eastAsia="仿宋_GB2312" w:cs="仿宋_GB2312"/>
          <w:b w:val="0"/>
          <w:color w:val="auto"/>
          <w:sz w:val="32"/>
          <w:szCs w:val="32"/>
          <w:u w:val="none"/>
        </w:rPr>
      </w:pPr>
      <w:r>
        <w:rPr>
          <w:rStyle w:val="10"/>
          <w:rFonts w:hint="eastAsia" w:eastAsia="楷体_GB2312"/>
          <w:color w:val="auto"/>
          <w:u w:val="none"/>
          <w:lang w:eastAsia="zh-CN"/>
        </w:rPr>
        <w:t>（二）</w:t>
      </w:r>
      <w:r>
        <w:rPr>
          <w:rStyle w:val="10"/>
          <w:color w:val="auto"/>
          <w:u w:val="none"/>
        </w:rPr>
        <w:t>起草初稿</w:t>
      </w:r>
      <w:r>
        <w:rPr>
          <w:rFonts w:ascii="Times New Roman" w:hAnsi="Times New Roman" w:eastAsia="仿宋_GB2312" w:cs="仿宋_GB2312"/>
          <w:color w:val="auto"/>
          <w:sz w:val="32"/>
          <w:szCs w:val="32"/>
          <w:u w:val="none"/>
        </w:rPr>
        <w:t>。</w:t>
      </w:r>
      <w:r>
        <w:rPr>
          <w:rFonts w:hint="eastAsia" w:ascii="仿宋_GB2312" w:hAnsi="仿宋_GB2312" w:eastAsia="仿宋_GB2312" w:cs="仿宋_GB2312"/>
          <w:color w:val="auto"/>
          <w:sz w:val="32"/>
          <w:szCs w:val="32"/>
          <w:u w:val="none"/>
          <w:lang w:val="en-US" w:eastAsia="zh-CN"/>
        </w:rPr>
        <w:t>根据国家和山西省文件精神和政策要求</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lang w:val="en-US" w:eastAsia="zh-CN"/>
        </w:rPr>
        <w:t>结合吕梁</w:t>
      </w:r>
      <w:r>
        <w:rPr>
          <w:rFonts w:hint="eastAsia" w:ascii="仿宋_GB2312" w:hAnsi="仿宋_GB2312" w:eastAsia="仿宋_GB2312" w:cs="仿宋_GB2312"/>
          <w:color w:val="auto"/>
          <w:sz w:val="32"/>
          <w:szCs w:val="32"/>
          <w:u w:val="none"/>
        </w:rPr>
        <w:t>市</w:t>
      </w:r>
      <w:r>
        <w:rPr>
          <w:rFonts w:hint="eastAsia" w:ascii="仿宋_GB2312" w:hAnsi="仿宋_GB2312" w:eastAsia="仿宋_GB2312" w:cs="仿宋_GB2312"/>
          <w:color w:val="auto"/>
          <w:sz w:val="32"/>
          <w:szCs w:val="32"/>
          <w:u w:val="none"/>
          <w:lang w:val="en-US" w:eastAsia="zh-CN"/>
        </w:rPr>
        <w:t>调研实际</w:t>
      </w:r>
      <w:r>
        <w:rPr>
          <w:rFonts w:hint="eastAsia" w:ascii="仿宋_GB2312" w:hAnsi="仿宋_GB2312" w:eastAsia="仿宋_GB2312" w:cs="仿宋_GB2312"/>
          <w:color w:val="auto"/>
          <w:sz w:val="32"/>
          <w:szCs w:val="32"/>
          <w:u w:val="none"/>
        </w:rPr>
        <w:t>，</w:t>
      </w:r>
      <w:r>
        <w:rPr>
          <w:rFonts w:hint="eastAsia" w:ascii="仿宋_GB2312" w:hAnsi="仿宋_GB2312" w:eastAsia="仿宋_GB2312" w:cs="仿宋_GB2312"/>
          <w:i w:val="0"/>
          <w:iCs w:val="0"/>
          <w:caps w:val="0"/>
          <w:color w:val="000000"/>
          <w:spacing w:val="0"/>
          <w:sz w:val="32"/>
          <w:szCs w:val="32"/>
          <w:shd w:val="clear" w:fill="FFFFFF"/>
          <w:vertAlign w:val="baseline"/>
        </w:rPr>
        <w:t>参考和吸收长护险试点城市工作经验和工作成果，</w:t>
      </w:r>
      <w:r>
        <w:rPr>
          <w:rFonts w:hint="eastAsia" w:ascii="仿宋_GB2312" w:hAnsi="仿宋_GB2312" w:eastAsia="仿宋_GB2312" w:cs="仿宋_GB2312"/>
          <w:color w:val="auto"/>
          <w:sz w:val="32"/>
          <w:szCs w:val="32"/>
          <w:u w:val="none"/>
          <w:lang w:val="en-US" w:eastAsia="zh-CN"/>
        </w:rPr>
        <w:t>围绕</w:t>
      </w:r>
      <w:r>
        <w:rPr>
          <w:rFonts w:hint="eastAsia" w:ascii="仿宋_GB2312" w:hAnsi="仿宋_GB2312" w:eastAsia="仿宋_GB2312" w:cs="仿宋_GB2312"/>
          <w:color w:val="auto"/>
          <w:sz w:val="32"/>
          <w:szCs w:val="32"/>
          <w:u w:val="none"/>
        </w:rPr>
        <w:t>参保缴费、</w:t>
      </w:r>
      <w:r>
        <w:rPr>
          <w:rFonts w:hint="eastAsia" w:ascii="仿宋_GB2312" w:hAnsi="仿宋_GB2312" w:eastAsia="仿宋_GB2312" w:cs="仿宋_GB2312"/>
          <w:color w:val="auto"/>
          <w:sz w:val="32"/>
          <w:szCs w:val="32"/>
          <w:u w:val="none"/>
          <w:lang w:val="en-US" w:eastAsia="zh-CN"/>
        </w:rPr>
        <w:t>基金管理、待遇保障、</w:t>
      </w:r>
      <w:r>
        <w:rPr>
          <w:rFonts w:hint="eastAsia" w:ascii="仿宋_GB2312" w:hAnsi="仿宋_GB2312" w:eastAsia="仿宋_GB2312" w:cs="仿宋_GB2312"/>
          <w:color w:val="auto"/>
          <w:sz w:val="32"/>
          <w:szCs w:val="32"/>
          <w:u w:val="none"/>
        </w:rPr>
        <w:t>失能评估、护理服务、</w:t>
      </w:r>
      <w:r>
        <w:rPr>
          <w:rFonts w:hint="eastAsia" w:ascii="仿宋_GB2312" w:hAnsi="仿宋_GB2312" w:eastAsia="仿宋_GB2312" w:cs="仿宋_GB2312"/>
          <w:color w:val="auto"/>
          <w:sz w:val="32"/>
          <w:szCs w:val="32"/>
          <w:u w:val="none"/>
          <w:lang w:val="en-US" w:eastAsia="zh-CN"/>
        </w:rPr>
        <w:t>经办管理、考核实施等</w:t>
      </w:r>
      <w:r>
        <w:rPr>
          <w:rFonts w:hint="eastAsia" w:ascii="仿宋_GB2312" w:hAnsi="仿宋_GB2312" w:eastAsia="仿宋_GB2312" w:cs="仿宋_GB2312"/>
          <w:color w:val="auto"/>
          <w:sz w:val="32"/>
          <w:szCs w:val="32"/>
          <w:u w:val="none"/>
        </w:rPr>
        <w:t>核心环节，</w:t>
      </w:r>
      <w:r>
        <w:rPr>
          <w:rFonts w:hint="eastAsia" w:ascii="仿宋_GB2312" w:hAnsi="仿宋_GB2312" w:eastAsia="仿宋_GB2312" w:cs="仿宋_GB2312"/>
          <w:color w:val="auto"/>
          <w:sz w:val="32"/>
          <w:szCs w:val="32"/>
          <w:u w:val="none"/>
          <w:lang w:val="en-US" w:eastAsia="zh-CN"/>
        </w:rPr>
        <w:t>明确工作职责，</w:t>
      </w:r>
      <w:r>
        <w:rPr>
          <w:rFonts w:hint="eastAsia" w:ascii="仿宋_GB2312" w:hAnsi="仿宋_GB2312" w:eastAsia="仿宋_GB2312" w:cs="仿宋_GB2312"/>
          <w:color w:val="auto"/>
          <w:sz w:val="32"/>
          <w:szCs w:val="32"/>
          <w:u w:val="none"/>
        </w:rPr>
        <w:t>细化政策标准，起草形成《实施细则（初稿）》。</w:t>
      </w:r>
    </w:p>
    <w:p w14:paraId="76E70FAA">
      <w:pPr>
        <w:pStyle w:val="2"/>
        <w:pageBreakBefore w:val="0"/>
        <w:widowControl/>
        <w:numPr>
          <w:ilvl w:val="0"/>
          <w:numId w:val="0"/>
        </w:numPr>
        <w:kinsoku/>
        <w:wordWrap/>
        <w:overflowPunct/>
        <w:topLinePunct w:val="0"/>
        <w:autoSpaceDE/>
        <w:autoSpaceDN/>
        <w:bidi w:val="0"/>
        <w:adjustRightInd/>
        <w:snapToGrid/>
        <w:spacing w:line="580" w:lineRule="exact"/>
        <w:ind w:left="0" w:leftChars="0" w:firstLine="616"/>
        <w:textAlignment w:val="auto"/>
        <w:rPr>
          <w:rFonts w:hint="eastAsia" w:ascii="楷体_GB2312" w:hAnsi="楷体_GB2312" w:eastAsia="楷体_GB2312" w:cs="楷体_GB2312"/>
          <w:b w:val="0"/>
          <w:color w:val="auto"/>
          <w:sz w:val="32"/>
          <w:szCs w:val="32"/>
          <w:u w:val="none"/>
        </w:rPr>
      </w:pPr>
      <w:r>
        <w:rPr>
          <w:rStyle w:val="10"/>
          <w:rFonts w:hint="eastAsia" w:eastAsia="楷体_GB2312"/>
          <w:color w:val="auto"/>
          <w:u w:val="none"/>
          <w:lang w:eastAsia="zh-CN"/>
        </w:rPr>
        <w:t>（三）</w:t>
      </w:r>
      <w:r>
        <w:rPr>
          <w:rStyle w:val="10"/>
          <w:color w:val="auto"/>
          <w:u w:val="none"/>
        </w:rPr>
        <w:t>广泛征求意见</w:t>
      </w:r>
      <w:r>
        <w:rPr>
          <w:rFonts w:ascii="Times New Roman" w:hAnsi="Times New Roman" w:eastAsia="仿宋_GB2312" w:cs="仿宋_GB2312"/>
          <w:color w:val="auto"/>
          <w:sz w:val="32"/>
          <w:szCs w:val="32"/>
          <w:u w:val="none"/>
        </w:rPr>
        <w:t>。《实施细则（初稿）》</w:t>
      </w:r>
      <w:r>
        <w:rPr>
          <w:rFonts w:hint="eastAsia" w:cs="仿宋_GB2312"/>
          <w:color w:val="auto"/>
          <w:sz w:val="32"/>
          <w:szCs w:val="32"/>
          <w:u w:val="none"/>
          <w:lang w:val="en-US" w:eastAsia="zh-CN"/>
        </w:rPr>
        <w:t>形成后，我们率先在系统内部征求意见，采纳吸收意见建议不断修改完善后，印发各县市区人民政府以及市发改、民政、财政、人社、税务、农业农村、残联等相关部门广泛征求意见建议。</w:t>
      </w:r>
    </w:p>
    <w:p w14:paraId="1EDE8949">
      <w:pPr>
        <w:pStyle w:val="2"/>
        <w:pageBreakBefore w:val="0"/>
        <w:widowControl/>
        <w:numPr>
          <w:ilvl w:val="0"/>
          <w:numId w:val="0"/>
        </w:numPr>
        <w:kinsoku/>
        <w:wordWrap/>
        <w:overflowPunct/>
        <w:topLinePunct w:val="0"/>
        <w:autoSpaceDE/>
        <w:autoSpaceDN/>
        <w:bidi w:val="0"/>
        <w:adjustRightInd/>
        <w:snapToGrid/>
        <w:spacing w:line="580" w:lineRule="exact"/>
        <w:ind w:left="0" w:leftChars="0" w:firstLine="616"/>
        <w:textAlignment w:val="auto"/>
        <w:rPr>
          <w:rFonts w:hint="default" w:ascii="楷体_GB2312" w:hAnsi="楷体_GB2312" w:eastAsia="楷体_GB2312" w:cs="楷体_GB2312"/>
          <w:b w:val="0"/>
          <w:color w:val="auto"/>
          <w:sz w:val="32"/>
          <w:szCs w:val="32"/>
          <w:u w:val="none"/>
          <w:lang w:val="en-US"/>
        </w:rPr>
      </w:pPr>
      <w:r>
        <w:rPr>
          <w:rStyle w:val="10"/>
          <w:rFonts w:hint="eastAsia" w:eastAsia="楷体_GB2312"/>
          <w:color w:val="auto"/>
          <w:u w:val="none"/>
          <w:lang w:eastAsia="zh-CN"/>
        </w:rPr>
        <w:t>（四）</w:t>
      </w:r>
      <w:r>
        <w:rPr>
          <w:rStyle w:val="10"/>
          <w:color w:val="auto"/>
          <w:u w:val="none"/>
        </w:rPr>
        <w:t>修改完善</w:t>
      </w:r>
      <w:r>
        <w:rPr>
          <w:rFonts w:ascii="Times New Roman" w:hAnsi="Times New Roman" w:eastAsia="仿宋_GB2312" w:cs="仿宋_GB2312"/>
          <w:color w:val="auto"/>
          <w:sz w:val="32"/>
          <w:szCs w:val="32"/>
          <w:u w:val="none"/>
        </w:rPr>
        <w:t>。</w:t>
      </w:r>
      <w:r>
        <w:rPr>
          <w:rFonts w:hint="eastAsia" w:cs="仿宋_GB2312"/>
          <w:color w:val="auto"/>
          <w:sz w:val="32"/>
          <w:szCs w:val="32"/>
          <w:u w:val="none"/>
          <w:lang w:val="en-US" w:eastAsia="zh-CN"/>
        </w:rPr>
        <w:t>对各县市区人民政府和市直有关单位反馈的</w:t>
      </w:r>
      <w:r>
        <w:rPr>
          <w:rFonts w:ascii="Times New Roman" w:hAnsi="Times New Roman" w:eastAsia="仿宋_GB2312" w:cs="仿宋_GB2312"/>
          <w:color w:val="auto"/>
          <w:sz w:val="32"/>
          <w:szCs w:val="32"/>
          <w:u w:val="none"/>
        </w:rPr>
        <w:t>意见建议</w:t>
      </w:r>
      <w:r>
        <w:rPr>
          <w:rFonts w:hint="eastAsia" w:cs="仿宋_GB2312"/>
          <w:color w:val="auto"/>
          <w:sz w:val="32"/>
          <w:szCs w:val="32"/>
          <w:u w:val="none"/>
          <w:lang w:val="en-US" w:eastAsia="zh-CN"/>
        </w:rPr>
        <w:t>进行梳理汇总</w:t>
      </w:r>
      <w:r>
        <w:rPr>
          <w:rFonts w:ascii="Times New Roman" w:hAnsi="Times New Roman" w:eastAsia="仿宋_GB2312" w:cs="仿宋_GB2312"/>
          <w:color w:val="auto"/>
          <w:sz w:val="32"/>
          <w:szCs w:val="32"/>
          <w:u w:val="none"/>
        </w:rPr>
        <w:t>，对合理可行的意见建议全部予以采纳吸收</w:t>
      </w:r>
      <w:r>
        <w:rPr>
          <w:rFonts w:hint="eastAsia" w:cs="仿宋_GB2312"/>
          <w:color w:val="auto"/>
          <w:sz w:val="32"/>
          <w:szCs w:val="32"/>
          <w:u w:val="none"/>
          <w:lang w:eastAsia="zh-CN"/>
        </w:rPr>
        <w:t>、</w:t>
      </w:r>
      <w:r>
        <w:rPr>
          <w:rFonts w:ascii="Times New Roman" w:hAnsi="Times New Roman" w:eastAsia="仿宋_GB2312" w:cs="仿宋_GB2312"/>
          <w:color w:val="auto"/>
          <w:sz w:val="32"/>
          <w:szCs w:val="32"/>
          <w:u w:val="none"/>
        </w:rPr>
        <w:t>修改完善，</w:t>
      </w:r>
      <w:r>
        <w:rPr>
          <w:rFonts w:hint="eastAsia" w:cs="仿宋_GB2312"/>
          <w:color w:val="auto"/>
          <w:sz w:val="32"/>
          <w:szCs w:val="32"/>
          <w:u w:val="none"/>
          <w:lang w:val="en-US" w:eastAsia="zh-CN"/>
        </w:rPr>
        <w:t>进一步</w:t>
      </w:r>
      <w:r>
        <w:rPr>
          <w:rFonts w:ascii="Times New Roman" w:hAnsi="Times New Roman" w:eastAsia="仿宋_GB2312" w:cs="仿宋_GB2312"/>
          <w:color w:val="auto"/>
          <w:sz w:val="32"/>
          <w:szCs w:val="32"/>
          <w:u w:val="none"/>
        </w:rPr>
        <w:t>优化政策表述，调整相关标准，明确操作流程，确保政策</w:t>
      </w:r>
      <w:r>
        <w:rPr>
          <w:rFonts w:hint="eastAsia" w:cs="仿宋_GB2312"/>
          <w:color w:val="auto"/>
          <w:sz w:val="32"/>
          <w:szCs w:val="32"/>
          <w:u w:val="none"/>
          <w:lang w:val="en-US" w:eastAsia="zh-CN"/>
        </w:rPr>
        <w:t>科学、严谨、规范、可操作。</w:t>
      </w:r>
    </w:p>
    <w:p w14:paraId="04B971F9">
      <w:pPr>
        <w:pStyle w:val="3"/>
        <w:pageBreakBefore w:val="0"/>
        <w:widowControl/>
        <w:numPr>
          <w:ilvl w:val="0"/>
          <w:numId w:val="0"/>
        </w:numPr>
        <w:kinsoku/>
        <w:wordWrap/>
        <w:overflowPunct/>
        <w:topLinePunct w:val="0"/>
        <w:autoSpaceDE/>
        <w:autoSpaceDN/>
        <w:bidi w:val="0"/>
        <w:adjustRightInd/>
        <w:snapToGrid/>
        <w:spacing w:line="580" w:lineRule="exact"/>
        <w:ind w:left="0" w:leftChars="0" w:firstLine="640"/>
        <w:textAlignment w:val="auto"/>
        <w:rPr>
          <w:b w:val="0"/>
          <w:color w:val="auto"/>
          <w:u w:val="none"/>
        </w:rPr>
      </w:pPr>
      <w:bookmarkStart w:id="3" w:name="heading_3"/>
      <w:r>
        <w:rPr>
          <w:rFonts w:hint="eastAsia"/>
          <w:color w:val="auto"/>
          <w:u w:val="none"/>
          <w:lang w:eastAsia="zh-CN"/>
        </w:rPr>
        <w:t>四、</w:t>
      </w:r>
      <w:r>
        <w:rPr>
          <w:color w:val="auto"/>
          <w:u w:val="none"/>
        </w:rPr>
        <w:t>《实施细则》主要内容</w:t>
      </w:r>
      <w:bookmarkEnd w:id="3"/>
    </w:p>
    <w:p w14:paraId="344D33E4">
      <w:pPr>
        <w:pStyle w:val="2"/>
        <w:pageBreakBefore w:val="0"/>
        <w:widowControl/>
        <w:kinsoku/>
        <w:wordWrap/>
        <w:overflowPunct/>
        <w:topLinePunct w:val="0"/>
        <w:autoSpaceDE/>
        <w:autoSpaceDN/>
        <w:bidi w:val="0"/>
        <w:adjustRightInd/>
        <w:snapToGrid/>
        <w:spacing w:line="580" w:lineRule="exact"/>
        <w:textAlignment w:val="auto"/>
        <w:rPr>
          <w:rFonts w:hint="eastAsia" w:ascii="Times New Roman" w:hAnsi="Times New Roman" w:eastAsia="仿宋_GB2312" w:cs="仿宋_GB2312"/>
          <w:color w:val="auto"/>
          <w:sz w:val="32"/>
          <w:szCs w:val="32"/>
          <w:u w:val="none"/>
          <w:lang w:eastAsia="zh-CN"/>
        </w:rPr>
      </w:pPr>
      <w:r>
        <w:rPr>
          <w:rFonts w:ascii="Times New Roman" w:hAnsi="Times New Roman" w:eastAsia="仿宋_GB2312" w:cs="仿宋_GB2312"/>
          <w:color w:val="auto"/>
          <w:sz w:val="32"/>
          <w:szCs w:val="32"/>
          <w:u w:val="none"/>
        </w:rPr>
        <w:t>《实施细则》共</w:t>
      </w:r>
      <w:r>
        <w:rPr>
          <w:rFonts w:hint="eastAsia" w:cs="仿宋_GB2312"/>
          <w:color w:val="auto"/>
          <w:sz w:val="32"/>
          <w:szCs w:val="32"/>
          <w:u w:val="none"/>
          <w:lang w:val="en-US" w:eastAsia="zh-CN"/>
        </w:rPr>
        <w:t>九</w:t>
      </w:r>
      <w:r>
        <w:rPr>
          <w:rFonts w:ascii="Times New Roman" w:hAnsi="Times New Roman" w:eastAsia="仿宋_GB2312" w:cs="仿宋_GB2312"/>
          <w:color w:val="auto"/>
          <w:sz w:val="32"/>
          <w:szCs w:val="32"/>
          <w:u w:val="none"/>
        </w:rPr>
        <w:t>章三十</w:t>
      </w:r>
      <w:r>
        <w:rPr>
          <w:rFonts w:hint="eastAsia" w:cs="仿宋_GB2312"/>
          <w:color w:val="auto"/>
          <w:sz w:val="32"/>
          <w:szCs w:val="32"/>
          <w:u w:val="none"/>
          <w:lang w:val="en-US" w:eastAsia="zh-CN"/>
        </w:rPr>
        <w:t>八</w:t>
      </w:r>
      <w:r>
        <w:rPr>
          <w:rFonts w:ascii="Times New Roman" w:hAnsi="Times New Roman" w:eastAsia="仿宋_GB2312" w:cs="仿宋_GB2312"/>
          <w:color w:val="auto"/>
          <w:sz w:val="32"/>
          <w:szCs w:val="32"/>
          <w:u w:val="none"/>
        </w:rPr>
        <w:t>条，</w:t>
      </w:r>
      <w:r>
        <w:rPr>
          <w:rFonts w:hint="eastAsia" w:cs="仿宋_GB2312"/>
          <w:color w:val="auto"/>
          <w:sz w:val="32"/>
          <w:szCs w:val="32"/>
          <w:u w:val="none"/>
          <w:lang w:val="en-US" w:eastAsia="zh-CN"/>
        </w:rPr>
        <w:t>内容包括总则、参保缴费、基金管理、待遇保障、失能等级评估、护理服务、经办服务管理、监督考核管理、附则等主要内容，内容</w:t>
      </w:r>
      <w:r>
        <w:rPr>
          <w:rFonts w:hint="eastAsia" w:ascii="仿宋_GB2312" w:hAnsi="Arial" w:eastAsia="仿宋_GB2312" w:cs="仿宋_GB2312"/>
          <w:i w:val="0"/>
          <w:iCs w:val="0"/>
          <w:caps w:val="0"/>
          <w:color w:val="000000"/>
          <w:spacing w:val="0"/>
          <w:sz w:val="32"/>
          <w:szCs w:val="32"/>
          <w:shd w:val="clear" w:fill="FFFFFF"/>
          <w:vertAlign w:val="baseline"/>
        </w:rPr>
        <w:t>综合考量我市未来的人口、经济发展变化等相关实际，对国家、省长护政策进行</w:t>
      </w:r>
      <w:r>
        <w:rPr>
          <w:rFonts w:hint="eastAsia" w:ascii="仿宋_GB2312" w:hAnsi="Arial" w:cs="仿宋_GB2312"/>
          <w:i w:val="0"/>
          <w:iCs w:val="0"/>
          <w:caps w:val="0"/>
          <w:color w:val="000000"/>
          <w:spacing w:val="0"/>
          <w:sz w:val="32"/>
          <w:szCs w:val="32"/>
          <w:shd w:val="clear" w:fill="FFFFFF"/>
          <w:vertAlign w:val="baseline"/>
          <w:lang w:val="en-US" w:eastAsia="zh-CN"/>
        </w:rPr>
        <w:t>了完善</w:t>
      </w:r>
      <w:r>
        <w:rPr>
          <w:rFonts w:hint="eastAsia" w:ascii="仿宋_GB2312" w:hAnsi="Arial" w:eastAsia="仿宋_GB2312" w:cs="仿宋_GB2312"/>
          <w:i w:val="0"/>
          <w:iCs w:val="0"/>
          <w:caps w:val="0"/>
          <w:color w:val="000000"/>
          <w:spacing w:val="0"/>
          <w:sz w:val="32"/>
          <w:szCs w:val="32"/>
          <w:shd w:val="clear" w:fill="FFFFFF"/>
          <w:vertAlign w:val="baseline"/>
        </w:rPr>
        <w:t>细化</w:t>
      </w:r>
      <w:r>
        <w:rPr>
          <w:rFonts w:hint="eastAsia" w:ascii="仿宋_GB2312" w:hAnsi="Arial" w:cs="仿宋_GB2312"/>
          <w:i w:val="0"/>
          <w:iCs w:val="0"/>
          <w:caps w:val="0"/>
          <w:color w:val="000000"/>
          <w:spacing w:val="0"/>
          <w:sz w:val="32"/>
          <w:szCs w:val="32"/>
          <w:shd w:val="clear" w:fill="FFFFFF"/>
          <w:vertAlign w:val="baseline"/>
          <w:lang w:eastAsia="zh-CN"/>
        </w:rPr>
        <w:t>。</w:t>
      </w:r>
    </w:p>
    <w:p w14:paraId="68D4C7A5">
      <w:pPr>
        <w:pStyle w:val="4"/>
        <w:pageBreakBefore w:val="0"/>
        <w:widowControl/>
        <w:numPr>
          <w:ilvl w:val="0"/>
          <w:numId w:val="0"/>
        </w:numPr>
        <w:kinsoku/>
        <w:wordWrap/>
        <w:overflowPunct/>
        <w:topLinePunct w:val="0"/>
        <w:autoSpaceDE/>
        <w:autoSpaceDN/>
        <w:bidi w:val="0"/>
        <w:adjustRightInd/>
        <w:snapToGrid/>
        <w:spacing w:line="580" w:lineRule="exact"/>
        <w:ind w:left="0" w:leftChars="0" w:firstLine="640"/>
        <w:textAlignment w:val="auto"/>
        <w:rPr>
          <w:rFonts w:hint="eastAsia" w:ascii="楷体_GB2312" w:hAnsi="楷体_GB2312" w:eastAsia="楷体_GB2312" w:cs="楷体_GB2312"/>
          <w:b w:val="0"/>
          <w:color w:val="auto"/>
          <w:u w:val="none"/>
        </w:rPr>
      </w:pPr>
      <w:bookmarkStart w:id="4" w:name="heading_4"/>
      <w:r>
        <w:rPr>
          <w:rFonts w:hint="eastAsia"/>
          <w:color w:val="auto"/>
          <w:u w:val="none"/>
          <w:lang w:eastAsia="zh-CN"/>
        </w:rPr>
        <w:t>（一）</w:t>
      </w:r>
      <w:r>
        <w:rPr>
          <w:color w:val="auto"/>
          <w:u w:val="none"/>
        </w:rPr>
        <w:t>总则</w:t>
      </w:r>
      <w:bookmarkEnd w:id="4"/>
    </w:p>
    <w:p w14:paraId="794F40B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textAlignment w:val="baseline"/>
        <w:rPr>
          <w:rFonts w:ascii="Times New Roman" w:hAnsi="Times New Roman" w:eastAsia="仿宋_GB2312" w:cs="仿宋_GB2312"/>
          <w:color w:val="auto"/>
          <w:sz w:val="32"/>
          <w:szCs w:val="32"/>
          <w:u w:val="none"/>
        </w:rPr>
      </w:pPr>
      <w:r>
        <w:rPr>
          <w:rFonts w:hint="eastAsia" w:ascii="仿宋_GB2312" w:hAnsi="仿宋_GB2312" w:eastAsia="仿宋_GB2312" w:cs="仿宋_GB2312"/>
          <w:color w:val="auto"/>
          <w:sz w:val="32"/>
          <w:szCs w:val="32"/>
          <w:u w:val="none"/>
        </w:rPr>
        <w:t>明确了《实施细则》制定的目的</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rPr>
        <w:t>依据</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lang w:val="en-US" w:eastAsia="zh-CN"/>
        </w:rPr>
        <w:t>建制原则、推进步骤。我市长护险从市级统筹起步，统筹区内制度政策统一、基金</w:t>
      </w:r>
      <w:bookmarkStart w:id="18" w:name="_GoBack"/>
      <w:bookmarkEnd w:id="18"/>
      <w:r>
        <w:rPr>
          <w:rFonts w:hint="eastAsia" w:ascii="仿宋_GB2312" w:hAnsi="仿宋_GB2312" w:eastAsia="仿宋_GB2312" w:cs="仿宋_GB2312"/>
          <w:color w:val="auto"/>
          <w:sz w:val="32"/>
          <w:szCs w:val="32"/>
          <w:u w:val="none"/>
          <w:lang w:val="en-US" w:eastAsia="zh-CN"/>
        </w:rPr>
        <w:t>统收统支、管理服务一体，2027年制度覆盖到所有单位职工、退休人员和灵活就业人员，2028年底前将未就业居民纳入保障范围。</w:t>
      </w:r>
    </w:p>
    <w:p w14:paraId="299145C4">
      <w:pPr>
        <w:pStyle w:val="4"/>
        <w:pageBreakBefore w:val="0"/>
        <w:widowControl/>
        <w:numPr>
          <w:ilvl w:val="0"/>
          <w:numId w:val="0"/>
        </w:numPr>
        <w:kinsoku/>
        <w:wordWrap/>
        <w:overflowPunct/>
        <w:topLinePunct w:val="0"/>
        <w:autoSpaceDE/>
        <w:autoSpaceDN/>
        <w:bidi w:val="0"/>
        <w:adjustRightInd/>
        <w:snapToGrid/>
        <w:spacing w:line="580" w:lineRule="exact"/>
        <w:ind w:left="0" w:leftChars="0" w:firstLine="640"/>
        <w:textAlignment w:val="auto"/>
        <w:rPr>
          <w:rFonts w:hint="eastAsia" w:ascii="楷体_GB2312" w:hAnsi="楷体_GB2312" w:eastAsia="楷体_GB2312" w:cs="楷体_GB2312"/>
          <w:b w:val="0"/>
          <w:color w:val="auto"/>
          <w:u w:val="none"/>
        </w:rPr>
      </w:pPr>
      <w:bookmarkStart w:id="5" w:name="heading_5"/>
      <w:r>
        <w:rPr>
          <w:rFonts w:hint="eastAsia"/>
          <w:color w:val="auto"/>
          <w:u w:val="none"/>
          <w:lang w:eastAsia="zh-CN"/>
        </w:rPr>
        <w:t>（二）</w:t>
      </w:r>
      <w:r>
        <w:rPr>
          <w:color w:val="auto"/>
          <w:u w:val="none"/>
        </w:rPr>
        <w:t>参保缴费</w:t>
      </w:r>
      <w:bookmarkEnd w:id="5"/>
    </w:p>
    <w:p w14:paraId="68A4539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textAlignment w:val="baseline"/>
        <w:rPr>
          <w:rFonts w:hint="default" w:ascii="Arial" w:hAnsi="Arial" w:cs="Arial"/>
          <w:i w:val="0"/>
          <w:iCs w:val="0"/>
          <w:caps w:val="0"/>
          <w:color w:val="000000"/>
          <w:spacing w:val="0"/>
          <w:sz w:val="32"/>
          <w:szCs w:val="32"/>
        </w:rPr>
      </w:pPr>
      <w:r>
        <w:rPr>
          <w:rFonts w:hint="eastAsia" w:ascii="仿宋_GB2312" w:hAnsi="Arial" w:eastAsia="仿宋_GB2312" w:cs="仿宋_GB2312"/>
          <w:i w:val="0"/>
          <w:iCs w:val="0"/>
          <w:caps w:val="0"/>
          <w:color w:val="000000"/>
          <w:spacing w:val="0"/>
          <w:sz w:val="32"/>
          <w:szCs w:val="32"/>
          <w:shd w:val="clear" w:fill="FFFFFF"/>
          <w:vertAlign w:val="baseline"/>
        </w:rPr>
        <w:t>按照省级政策要求，明确了参保范围，涵盖</w:t>
      </w:r>
      <w:r>
        <w:rPr>
          <w:rFonts w:hint="eastAsia" w:ascii="仿宋_GB2312" w:hAnsi="Arial" w:eastAsia="仿宋_GB2312" w:cs="仿宋_GB2312"/>
          <w:i w:val="0"/>
          <w:iCs w:val="0"/>
          <w:caps w:val="0"/>
          <w:color w:val="000000"/>
          <w:spacing w:val="0"/>
          <w:sz w:val="32"/>
          <w:szCs w:val="32"/>
          <w:shd w:val="clear" w:fill="FFFFFF"/>
          <w:vertAlign w:val="baseline"/>
          <w:lang w:val="en-US" w:eastAsia="zh-CN"/>
        </w:rPr>
        <w:t>吕梁</w:t>
      </w:r>
      <w:r>
        <w:rPr>
          <w:rFonts w:hint="eastAsia" w:ascii="仿宋_GB2312" w:hAnsi="Arial" w:eastAsia="仿宋_GB2312" w:cs="仿宋_GB2312"/>
          <w:i w:val="0"/>
          <w:iCs w:val="0"/>
          <w:caps w:val="0"/>
          <w:color w:val="000000"/>
          <w:spacing w:val="0"/>
          <w:sz w:val="32"/>
          <w:szCs w:val="32"/>
          <w:shd w:val="clear" w:fill="FFFFFF"/>
          <w:vertAlign w:val="baseline"/>
        </w:rPr>
        <w:t>市行政区域内各类用人单位及其职工、退休人员、灵活就业人员和未就业城乡居民，实现应保尽保。建立多渠道筹资机制，细化了不同参保群体的缴费标准、费率分担方式和缴费方式：</w:t>
      </w:r>
    </w:p>
    <w:p w14:paraId="3A9A634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3"/>
        <w:jc w:val="left"/>
        <w:textAlignment w:val="baseline"/>
        <w:rPr>
          <w:rFonts w:hint="default" w:ascii="Arial" w:hAnsi="Arial" w:cs="Arial"/>
          <w:i w:val="0"/>
          <w:iCs w:val="0"/>
          <w:caps w:val="0"/>
          <w:color w:val="000000"/>
          <w:spacing w:val="0"/>
          <w:sz w:val="32"/>
          <w:szCs w:val="32"/>
        </w:rPr>
      </w:pPr>
      <w:bookmarkStart w:id="6" w:name="heading_6"/>
      <w:r>
        <w:rPr>
          <w:rFonts w:hint="eastAsia" w:ascii="仿宋_GB2312" w:hAnsi="Arial" w:eastAsia="仿宋_GB2312" w:cs="仿宋_GB2312"/>
          <w:b/>
          <w:bCs/>
          <w:i w:val="0"/>
          <w:iCs w:val="0"/>
          <w:caps w:val="0"/>
          <w:color w:val="000000"/>
          <w:spacing w:val="0"/>
          <w:sz w:val="32"/>
          <w:szCs w:val="32"/>
          <w:shd w:val="clear" w:fill="FFFFFF"/>
          <w:vertAlign w:val="baseline"/>
        </w:rPr>
        <w:t>1.单位职工：</w:t>
      </w:r>
      <w:r>
        <w:rPr>
          <w:rFonts w:hint="eastAsia" w:ascii="仿宋_GB2312" w:hAnsi="Arial" w:eastAsia="仿宋_GB2312" w:cs="仿宋_GB2312"/>
          <w:i w:val="0"/>
          <w:iCs w:val="0"/>
          <w:caps w:val="0"/>
          <w:color w:val="000000"/>
          <w:spacing w:val="0"/>
          <w:sz w:val="32"/>
          <w:szCs w:val="32"/>
          <w:shd w:val="clear" w:fill="FFFFFF"/>
          <w:vertAlign w:val="baseline"/>
        </w:rPr>
        <w:t>费率为0.3％，用人单位和个人同比例分担，分别为0.15%，缴费基数同职工基本医保缴费基数</w:t>
      </w:r>
      <w:r>
        <w:rPr>
          <w:rFonts w:hint="eastAsia" w:ascii="仿宋_GB2312" w:hAnsi="Arial" w:eastAsia="仿宋_GB2312" w:cs="仿宋_GB2312"/>
          <w:i w:val="0"/>
          <w:iCs w:val="0"/>
          <w:caps w:val="0"/>
          <w:color w:val="000000"/>
          <w:spacing w:val="0"/>
          <w:sz w:val="32"/>
          <w:szCs w:val="32"/>
          <w:shd w:val="clear" w:fill="FFFFFF"/>
          <w:vertAlign w:val="baseline"/>
          <w:lang w:eastAsia="zh-CN"/>
        </w:rPr>
        <w:t>，</w:t>
      </w:r>
      <w:r>
        <w:rPr>
          <w:rFonts w:hint="eastAsia" w:ascii="仿宋_GB2312" w:hAnsi="Arial" w:eastAsia="仿宋_GB2312" w:cs="仿宋_GB2312"/>
          <w:i w:val="0"/>
          <w:iCs w:val="0"/>
          <w:caps w:val="0"/>
          <w:color w:val="000000"/>
          <w:spacing w:val="0"/>
          <w:sz w:val="32"/>
          <w:szCs w:val="32"/>
          <w:shd w:val="clear" w:fill="FFFFFF"/>
          <w:vertAlign w:val="baseline"/>
          <w:lang w:val="en-US" w:eastAsia="zh-CN"/>
        </w:rPr>
        <w:t>用人单位按月申报缴纳</w:t>
      </w:r>
      <w:r>
        <w:rPr>
          <w:rFonts w:hint="eastAsia" w:ascii="仿宋_GB2312" w:hAnsi="Arial" w:eastAsia="仿宋_GB2312" w:cs="仿宋_GB2312"/>
          <w:i w:val="0"/>
          <w:iCs w:val="0"/>
          <w:caps w:val="0"/>
          <w:color w:val="000000"/>
          <w:spacing w:val="0"/>
          <w:sz w:val="32"/>
          <w:szCs w:val="32"/>
          <w:shd w:val="clear" w:fill="FFFFFF"/>
          <w:vertAlign w:val="baseline"/>
        </w:rPr>
        <w:t>；</w:t>
      </w:r>
    </w:p>
    <w:p w14:paraId="12145F90">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3"/>
        <w:jc w:val="left"/>
        <w:textAlignment w:val="baseline"/>
        <w:rPr>
          <w:rFonts w:hint="default" w:ascii="Arial" w:hAnsi="Arial" w:cs="Arial"/>
          <w:i w:val="0"/>
          <w:iCs w:val="0"/>
          <w:caps w:val="0"/>
          <w:color w:val="000000"/>
          <w:spacing w:val="0"/>
          <w:sz w:val="32"/>
          <w:szCs w:val="32"/>
        </w:rPr>
      </w:pPr>
      <w:r>
        <w:rPr>
          <w:rFonts w:hint="eastAsia" w:ascii="仿宋_GB2312" w:hAnsi="Arial" w:eastAsia="仿宋_GB2312" w:cs="仿宋_GB2312"/>
          <w:b/>
          <w:bCs/>
          <w:i w:val="0"/>
          <w:iCs w:val="0"/>
          <w:caps w:val="0"/>
          <w:color w:val="000000"/>
          <w:spacing w:val="0"/>
          <w:sz w:val="32"/>
          <w:szCs w:val="32"/>
          <w:shd w:val="clear" w:fill="FFFFFF"/>
          <w:vertAlign w:val="baseline"/>
        </w:rPr>
        <w:t>2.退休人员：</w:t>
      </w:r>
      <w:r>
        <w:rPr>
          <w:rFonts w:hint="eastAsia" w:ascii="仿宋_GB2312" w:hAnsi="Arial" w:eastAsia="仿宋_GB2312" w:cs="仿宋_GB2312"/>
          <w:i w:val="0"/>
          <w:iCs w:val="0"/>
          <w:caps w:val="0"/>
          <w:color w:val="000000"/>
          <w:spacing w:val="0"/>
          <w:sz w:val="32"/>
          <w:szCs w:val="32"/>
          <w:shd w:val="clear" w:fill="FFFFFF"/>
          <w:vertAlign w:val="baseline"/>
        </w:rPr>
        <w:t>费率为0.15％，原用人单位不缴费，缴费基数为本人基本养老金。费款由医保经办机构从其职工医保个人账户代扣代缴，</w:t>
      </w:r>
      <w:r>
        <w:rPr>
          <w:rFonts w:hint="eastAsia" w:ascii="仿宋_GB2312" w:hAnsi="Arial" w:eastAsia="仿宋_GB2312" w:cs="仿宋_GB2312"/>
          <w:i w:val="0"/>
          <w:iCs w:val="0"/>
          <w:caps w:val="0"/>
          <w:color w:val="000000"/>
          <w:spacing w:val="0"/>
          <w:sz w:val="32"/>
          <w:szCs w:val="32"/>
          <w:shd w:val="clear" w:fill="FFFFFF"/>
          <w:vertAlign w:val="baseline"/>
          <w:lang w:val="en-US" w:eastAsia="zh-CN"/>
        </w:rPr>
        <w:t>也可由发放基本养老金的社会保险经办机构代扣代缴</w:t>
      </w:r>
      <w:r>
        <w:rPr>
          <w:rFonts w:hint="eastAsia" w:ascii="仿宋_GB2312" w:hAnsi="Arial" w:eastAsia="仿宋_GB2312" w:cs="仿宋_GB2312"/>
          <w:i w:val="0"/>
          <w:iCs w:val="0"/>
          <w:caps w:val="0"/>
          <w:color w:val="000000"/>
          <w:spacing w:val="0"/>
          <w:sz w:val="32"/>
          <w:szCs w:val="32"/>
          <w:shd w:val="clear" w:fill="FFFFFF"/>
          <w:vertAlign w:val="baseline"/>
        </w:rPr>
        <w:t>；</w:t>
      </w:r>
    </w:p>
    <w:p w14:paraId="269935D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3"/>
        <w:jc w:val="left"/>
        <w:textAlignment w:val="baseline"/>
        <w:rPr>
          <w:rFonts w:hint="default" w:ascii="Arial" w:hAnsi="Arial" w:cs="Arial"/>
          <w:i w:val="0"/>
          <w:iCs w:val="0"/>
          <w:caps w:val="0"/>
          <w:color w:val="000000"/>
          <w:spacing w:val="0"/>
          <w:sz w:val="32"/>
          <w:szCs w:val="32"/>
        </w:rPr>
      </w:pPr>
      <w:r>
        <w:rPr>
          <w:rFonts w:hint="eastAsia" w:ascii="仿宋_GB2312" w:hAnsi="Arial" w:eastAsia="仿宋_GB2312" w:cs="仿宋_GB2312"/>
          <w:b/>
          <w:bCs/>
          <w:i w:val="0"/>
          <w:iCs w:val="0"/>
          <w:caps w:val="0"/>
          <w:color w:val="000000"/>
          <w:spacing w:val="0"/>
          <w:sz w:val="32"/>
          <w:szCs w:val="32"/>
          <w:shd w:val="clear" w:fill="FFFFFF"/>
          <w:vertAlign w:val="baseline"/>
        </w:rPr>
        <w:t>3.灵活就业人员：</w:t>
      </w:r>
      <w:r>
        <w:rPr>
          <w:rFonts w:hint="eastAsia" w:ascii="仿宋_GB2312" w:hAnsi="Arial" w:eastAsia="仿宋_GB2312" w:cs="仿宋_GB2312"/>
          <w:i w:val="0"/>
          <w:iCs w:val="0"/>
          <w:caps w:val="0"/>
          <w:color w:val="000000"/>
          <w:spacing w:val="0"/>
          <w:sz w:val="32"/>
          <w:szCs w:val="32"/>
          <w:shd w:val="clear" w:fill="FFFFFF"/>
          <w:vertAlign w:val="baseline"/>
        </w:rPr>
        <w:t>参加职工医保的灵活就业人员按单位职工费率标准0.3%参保缴费，缴费基数不低于全省上年度全口径城镇单位就业人员平均工资的60%，由个人按规定全额缴费；</w:t>
      </w:r>
      <w:r>
        <w:rPr>
          <w:rFonts w:hint="eastAsia" w:ascii="仿宋_GB2312" w:hAnsi="Arial" w:eastAsia="仿宋_GB2312" w:cs="仿宋_GB2312"/>
          <w:i w:val="0"/>
          <w:iCs w:val="0"/>
          <w:caps w:val="0"/>
          <w:color w:val="000000"/>
          <w:spacing w:val="0"/>
          <w:sz w:val="32"/>
          <w:szCs w:val="32"/>
          <w:shd w:val="clear" w:fill="FFFFFF"/>
          <w:vertAlign w:val="baseline"/>
          <w:lang w:val="en-US" w:eastAsia="zh-CN"/>
        </w:rPr>
        <w:t>未</w:t>
      </w:r>
      <w:r>
        <w:rPr>
          <w:rFonts w:hint="eastAsia" w:ascii="仿宋_GB2312" w:hAnsi="Arial" w:eastAsia="仿宋_GB2312" w:cs="仿宋_GB2312"/>
          <w:i w:val="0"/>
          <w:iCs w:val="0"/>
          <w:caps w:val="0"/>
          <w:color w:val="000000"/>
          <w:spacing w:val="0"/>
          <w:sz w:val="32"/>
          <w:szCs w:val="32"/>
          <w:shd w:val="clear" w:fill="FFFFFF"/>
          <w:vertAlign w:val="baseline"/>
        </w:rPr>
        <w:t>参加</w:t>
      </w:r>
      <w:r>
        <w:rPr>
          <w:rFonts w:hint="eastAsia" w:ascii="仿宋_GB2312" w:hAnsi="Arial" w:eastAsia="仿宋_GB2312" w:cs="仿宋_GB2312"/>
          <w:i w:val="0"/>
          <w:iCs w:val="0"/>
          <w:caps w:val="0"/>
          <w:color w:val="000000"/>
          <w:spacing w:val="0"/>
          <w:sz w:val="32"/>
          <w:szCs w:val="32"/>
          <w:shd w:val="clear" w:fill="FFFFFF"/>
          <w:vertAlign w:val="baseline"/>
          <w:lang w:val="en-US" w:eastAsia="zh-CN"/>
        </w:rPr>
        <w:t>职工</w:t>
      </w:r>
      <w:r>
        <w:rPr>
          <w:rFonts w:hint="eastAsia" w:ascii="仿宋_GB2312" w:hAnsi="Arial" w:eastAsia="仿宋_GB2312" w:cs="仿宋_GB2312"/>
          <w:i w:val="0"/>
          <w:iCs w:val="0"/>
          <w:caps w:val="0"/>
          <w:color w:val="000000"/>
          <w:spacing w:val="0"/>
          <w:sz w:val="32"/>
          <w:szCs w:val="32"/>
          <w:shd w:val="clear" w:fill="FFFFFF"/>
          <w:vertAlign w:val="baseline"/>
        </w:rPr>
        <w:t>医保的灵活就业人员按未就业城乡居民参保政策参保缴费，享受相应待遇；</w:t>
      </w:r>
    </w:p>
    <w:p w14:paraId="12513B5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3"/>
        <w:jc w:val="left"/>
        <w:textAlignment w:val="baseline"/>
        <w:rPr>
          <w:rFonts w:hint="eastAsia" w:ascii="Arial" w:hAnsi="Arial" w:eastAsia="仿宋_GB2312" w:cs="Arial"/>
          <w:i w:val="0"/>
          <w:iCs w:val="0"/>
          <w:caps w:val="0"/>
          <w:color w:val="000000"/>
          <w:spacing w:val="0"/>
          <w:sz w:val="32"/>
          <w:szCs w:val="32"/>
          <w:lang w:eastAsia="zh-CN"/>
        </w:rPr>
      </w:pPr>
      <w:r>
        <w:rPr>
          <w:rFonts w:hint="eastAsia" w:ascii="仿宋_GB2312" w:hAnsi="Arial" w:eastAsia="仿宋_GB2312" w:cs="仿宋_GB2312"/>
          <w:b/>
          <w:bCs/>
          <w:i w:val="0"/>
          <w:iCs w:val="0"/>
          <w:caps w:val="0"/>
          <w:color w:val="000000"/>
          <w:spacing w:val="0"/>
          <w:sz w:val="32"/>
          <w:szCs w:val="32"/>
          <w:shd w:val="clear" w:fill="FFFFFF"/>
          <w:vertAlign w:val="baseline"/>
        </w:rPr>
        <w:t>4.未就业人员：</w:t>
      </w:r>
      <w:r>
        <w:rPr>
          <w:rFonts w:hint="eastAsia" w:ascii="仿宋_GB2312" w:hAnsi="Arial" w:eastAsia="仿宋_GB2312" w:cs="仿宋_GB2312"/>
          <w:i w:val="0"/>
          <w:iCs w:val="0"/>
          <w:caps w:val="0"/>
          <w:color w:val="000000"/>
          <w:spacing w:val="0"/>
          <w:sz w:val="32"/>
          <w:szCs w:val="32"/>
          <w:shd w:val="clear" w:fill="FFFFFF"/>
          <w:vertAlign w:val="baseline"/>
        </w:rPr>
        <w:t>缴费</w:t>
      </w:r>
      <w:r>
        <w:rPr>
          <w:rFonts w:hint="eastAsia" w:ascii="仿宋_GB2312" w:hAnsi="Arial" w:eastAsia="仿宋_GB2312" w:cs="仿宋_GB2312"/>
          <w:i w:val="0"/>
          <w:iCs w:val="0"/>
          <w:caps w:val="0"/>
          <w:color w:val="000000"/>
          <w:spacing w:val="0"/>
          <w:sz w:val="32"/>
          <w:szCs w:val="32"/>
          <w:shd w:val="clear" w:fill="FFFFFF"/>
          <w:vertAlign w:val="baseline"/>
          <w:lang w:val="en-US" w:eastAsia="zh-CN"/>
        </w:rPr>
        <w:t>费</w:t>
      </w:r>
      <w:r>
        <w:rPr>
          <w:rFonts w:hint="eastAsia" w:ascii="仿宋_GB2312" w:hAnsi="Arial" w:eastAsia="仿宋_GB2312" w:cs="仿宋_GB2312"/>
          <w:i w:val="0"/>
          <w:iCs w:val="0"/>
          <w:caps w:val="0"/>
          <w:color w:val="000000"/>
          <w:spacing w:val="0"/>
          <w:sz w:val="32"/>
          <w:szCs w:val="32"/>
          <w:shd w:val="clear" w:fill="FFFFFF"/>
          <w:vertAlign w:val="baseline"/>
        </w:rPr>
        <w:t>率从0.15%起步，</w:t>
      </w:r>
      <w:r>
        <w:rPr>
          <w:rFonts w:hint="eastAsia" w:ascii="仿宋_GB2312" w:hAnsi="Arial" w:eastAsia="仿宋_GB2312" w:cs="仿宋_GB2312"/>
          <w:i w:val="0"/>
          <w:iCs w:val="0"/>
          <w:caps w:val="0"/>
          <w:color w:val="000000"/>
          <w:spacing w:val="0"/>
          <w:sz w:val="32"/>
          <w:szCs w:val="32"/>
          <w:shd w:val="clear" w:fill="FFFFFF"/>
          <w:vertAlign w:val="baseline"/>
          <w:lang w:val="en-US" w:eastAsia="zh-CN"/>
        </w:rPr>
        <w:t>2028年、</w:t>
      </w:r>
      <w:r>
        <w:rPr>
          <w:rFonts w:hint="eastAsia" w:ascii="仿宋_GB2312" w:hAnsi="Arial" w:eastAsia="仿宋_GB2312" w:cs="仿宋_GB2312"/>
          <w:i w:val="0"/>
          <w:iCs w:val="0"/>
          <w:caps w:val="0"/>
          <w:color w:val="000000"/>
          <w:spacing w:val="0"/>
          <w:sz w:val="32"/>
          <w:szCs w:val="32"/>
          <w:shd w:val="clear" w:fill="FFFFFF"/>
          <w:vertAlign w:val="baseline"/>
        </w:rPr>
        <w:t>2029年为0.15%，2030年为0.2%，2031年为0.25%，2032年及以后为0.3%。缴费基数为公布的全省上年度城乡居民人均可支配收入</w:t>
      </w:r>
      <w:r>
        <w:rPr>
          <w:rFonts w:hint="eastAsia" w:ascii="仿宋_GB2312" w:hAnsi="Arial" w:eastAsia="仿宋_GB2312" w:cs="仿宋_GB2312"/>
          <w:i w:val="0"/>
          <w:iCs w:val="0"/>
          <w:caps w:val="0"/>
          <w:color w:val="000000"/>
          <w:spacing w:val="0"/>
          <w:sz w:val="32"/>
          <w:szCs w:val="32"/>
          <w:shd w:val="clear" w:fill="FFFFFF"/>
          <w:vertAlign w:val="baseline"/>
          <w:lang w:eastAsia="zh-CN"/>
        </w:rPr>
        <w:t>。</w:t>
      </w:r>
      <w:r>
        <w:rPr>
          <w:rFonts w:hint="eastAsia" w:ascii="仿宋_GB2312" w:hAnsi="Arial" w:eastAsia="仿宋_GB2312" w:cs="仿宋_GB2312"/>
          <w:i w:val="0"/>
          <w:iCs w:val="0"/>
          <w:caps w:val="0"/>
          <w:color w:val="000000"/>
          <w:spacing w:val="0"/>
          <w:sz w:val="32"/>
          <w:szCs w:val="32"/>
          <w:shd w:val="clear" w:fill="FFFFFF"/>
          <w:vertAlign w:val="baseline"/>
          <w:lang w:val="en-US" w:eastAsia="zh-CN"/>
        </w:rPr>
        <w:t>保费</w:t>
      </w:r>
      <w:r>
        <w:rPr>
          <w:rFonts w:hint="eastAsia" w:ascii="仿宋_GB2312" w:hAnsi="Arial" w:eastAsia="仿宋_GB2312" w:cs="仿宋_GB2312"/>
          <w:i w:val="0"/>
          <w:iCs w:val="0"/>
          <w:caps w:val="0"/>
          <w:color w:val="000000"/>
          <w:spacing w:val="0"/>
          <w:sz w:val="32"/>
          <w:szCs w:val="32"/>
          <w:shd w:val="clear" w:fill="FFFFFF"/>
          <w:vertAlign w:val="baseline"/>
        </w:rPr>
        <w:t>由个人和政府同比例分担，政府补助由中央财政和地方财政共同承担，与城乡居民基本医疗保险费同步</w:t>
      </w:r>
      <w:r>
        <w:rPr>
          <w:rFonts w:hint="eastAsia" w:ascii="仿宋_GB2312" w:hAnsi="Arial" w:eastAsia="仿宋_GB2312" w:cs="仿宋_GB2312"/>
          <w:i w:val="0"/>
          <w:iCs w:val="0"/>
          <w:caps w:val="0"/>
          <w:color w:val="000000"/>
          <w:spacing w:val="0"/>
          <w:sz w:val="32"/>
          <w:szCs w:val="32"/>
          <w:shd w:val="clear" w:fill="FFFFFF"/>
          <w:vertAlign w:val="baseline"/>
          <w:lang w:val="en-US" w:eastAsia="zh-CN"/>
        </w:rPr>
        <w:t>按年</w:t>
      </w:r>
      <w:r>
        <w:rPr>
          <w:rFonts w:hint="eastAsia" w:ascii="仿宋_GB2312" w:hAnsi="Arial" w:eastAsia="仿宋_GB2312" w:cs="仿宋_GB2312"/>
          <w:i w:val="0"/>
          <w:iCs w:val="0"/>
          <w:caps w:val="0"/>
          <w:color w:val="000000"/>
          <w:spacing w:val="0"/>
          <w:sz w:val="32"/>
          <w:szCs w:val="32"/>
          <w:shd w:val="clear" w:fill="FFFFFF"/>
          <w:vertAlign w:val="baseline"/>
        </w:rPr>
        <w:t>缴费</w:t>
      </w:r>
      <w:r>
        <w:rPr>
          <w:rFonts w:hint="eastAsia" w:ascii="仿宋_GB2312" w:hAnsi="Arial" w:eastAsia="仿宋_GB2312" w:cs="仿宋_GB2312"/>
          <w:i w:val="0"/>
          <w:iCs w:val="0"/>
          <w:caps w:val="0"/>
          <w:color w:val="000000"/>
          <w:spacing w:val="0"/>
          <w:sz w:val="32"/>
          <w:szCs w:val="32"/>
          <w:shd w:val="clear" w:fill="FFFFFF"/>
          <w:vertAlign w:val="baseline"/>
          <w:lang w:eastAsia="zh-CN"/>
        </w:rPr>
        <w:t>。</w:t>
      </w:r>
    </w:p>
    <w:p w14:paraId="729B487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3"/>
        <w:jc w:val="left"/>
        <w:textAlignment w:val="baseline"/>
        <w:rPr>
          <w:rFonts w:hint="default" w:ascii="Arial" w:hAnsi="Arial" w:cs="Arial"/>
          <w:i w:val="0"/>
          <w:iCs w:val="0"/>
          <w:caps w:val="0"/>
          <w:color w:val="000000"/>
          <w:spacing w:val="0"/>
          <w:sz w:val="32"/>
          <w:szCs w:val="32"/>
        </w:rPr>
      </w:pPr>
      <w:r>
        <w:rPr>
          <w:rFonts w:hint="eastAsia" w:ascii="仿宋_GB2312" w:hAnsi="Arial" w:eastAsia="仿宋_GB2312" w:cs="仿宋_GB2312"/>
          <w:b/>
          <w:bCs/>
          <w:i w:val="0"/>
          <w:iCs w:val="0"/>
          <w:caps w:val="0"/>
          <w:color w:val="000000"/>
          <w:spacing w:val="0"/>
          <w:sz w:val="32"/>
          <w:szCs w:val="32"/>
          <w:shd w:val="clear" w:fill="FFFFFF"/>
          <w:vertAlign w:val="baseline"/>
        </w:rPr>
        <w:t>5.18周岁以下人员：</w:t>
      </w:r>
      <w:r>
        <w:rPr>
          <w:rFonts w:hint="eastAsia" w:ascii="仿宋_GB2312" w:hAnsi="Arial" w:eastAsia="仿宋_GB2312" w:cs="仿宋_GB2312"/>
          <w:i w:val="0"/>
          <w:iCs w:val="0"/>
          <w:caps w:val="0"/>
          <w:color w:val="000000"/>
          <w:spacing w:val="0"/>
          <w:sz w:val="32"/>
          <w:szCs w:val="32"/>
          <w:shd w:val="clear" w:fill="FFFFFF"/>
          <w:vertAlign w:val="baseline"/>
        </w:rPr>
        <w:t>18周岁以下未就业人员跟随父母或其他法定抚养人等参保，不单独筹资。孤儿、事实无人抚养儿童等无法跟从参保的，可以视同参保。</w:t>
      </w:r>
    </w:p>
    <w:p w14:paraId="61B351A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3"/>
        <w:jc w:val="left"/>
        <w:textAlignment w:val="baseline"/>
        <w:rPr>
          <w:rFonts w:hint="default" w:ascii="Arial" w:hAnsi="Arial" w:cs="Arial"/>
          <w:i w:val="0"/>
          <w:iCs w:val="0"/>
          <w:caps w:val="0"/>
          <w:color w:val="000000"/>
          <w:spacing w:val="0"/>
          <w:sz w:val="32"/>
          <w:szCs w:val="32"/>
        </w:rPr>
      </w:pPr>
      <w:r>
        <w:rPr>
          <w:rFonts w:hint="eastAsia" w:ascii="仿宋_GB2312" w:hAnsi="Arial" w:eastAsia="仿宋_GB2312" w:cs="仿宋_GB2312"/>
          <w:b/>
          <w:bCs/>
          <w:i w:val="0"/>
          <w:iCs w:val="0"/>
          <w:caps w:val="0"/>
          <w:color w:val="000000"/>
          <w:spacing w:val="0"/>
          <w:sz w:val="32"/>
          <w:szCs w:val="32"/>
          <w:shd w:val="clear" w:fill="FFFFFF"/>
          <w:vertAlign w:val="baseline"/>
        </w:rPr>
        <w:t>6.困难人群：</w:t>
      </w:r>
      <w:r>
        <w:rPr>
          <w:rFonts w:hint="eastAsia" w:ascii="仿宋_GB2312" w:hAnsi="Arial" w:eastAsia="仿宋_GB2312" w:cs="仿宋_GB2312"/>
          <w:i w:val="0"/>
          <w:iCs w:val="0"/>
          <w:caps w:val="0"/>
          <w:color w:val="000000"/>
          <w:spacing w:val="0"/>
          <w:sz w:val="32"/>
          <w:szCs w:val="32"/>
          <w:shd w:val="clear" w:fill="FFFFFF"/>
          <w:vertAlign w:val="baseline"/>
        </w:rPr>
        <w:t>对符合条件的按未就业城乡居民参保的困难人群个人缴费部分予以分类资助，全额资助特困人员，按个人缴费标准的80%定额资助低保对象和符合条件的防止返贫致贫对象。资助资金由医疗救助补助资金负担。</w:t>
      </w:r>
    </w:p>
    <w:p w14:paraId="1CF2840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textAlignment w:val="baseline"/>
        <w:rPr>
          <w:rFonts w:hint="eastAsia" w:ascii="楷体_GB2312" w:hAnsi="楷体_GB2312" w:eastAsia="楷体_GB2312" w:cs="楷体_GB2312"/>
          <w:i w:val="0"/>
          <w:iCs w:val="0"/>
          <w:caps w:val="0"/>
          <w:color w:val="000000"/>
          <w:spacing w:val="0"/>
          <w:sz w:val="32"/>
          <w:szCs w:val="32"/>
        </w:rPr>
      </w:pPr>
      <w:r>
        <w:rPr>
          <w:rFonts w:hint="eastAsia" w:ascii="楷体_GB2312" w:hAnsi="楷体_GB2312" w:eastAsia="楷体_GB2312" w:cs="楷体_GB2312"/>
          <w:i w:val="0"/>
          <w:iCs w:val="0"/>
          <w:caps w:val="0"/>
          <w:color w:val="000000"/>
          <w:spacing w:val="0"/>
          <w:sz w:val="32"/>
          <w:szCs w:val="32"/>
          <w:shd w:val="clear" w:fill="FFFFFF"/>
          <w:vertAlign w:val="baseline"/>
        </w:rPr>
        <w:t>(三)基金管理</w:t>
      </w:r>
    </w:p>
    <w:p w14:paraId="2179373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textAlignment w:val="baseline"/>
        <w:rPr>
          <w:rFonts w:hint="default" w:ascii="Arial" w:hAnsi="Arial" w:eastAsia="仿宋_GB2312" w:cs="Arial"/>
          <w:i w:val="0"/>
          <w:iCs w:val="0"/>
          <w:caps w:val="0"/>
          <w:color w:val="000000"/>
          <w:spacing w:val="0"/>
          <w:sz w:val="32"/>
          <w:szCs w:val="32"/>
          <w:lang w:val="en-US" w:eastAsia="zh-CN"/>
        </w:rPr>
      </w:pPr>
      <w:r>
        <w:rPr>
          <w:rFonts w:hint="eastAsia" w:ascii="仿宋_GB2312" w:hAnsi="Arial" w:eastAsia="仿宋_GB2312" w:cs="仿宋_GB2312"/>
          <w:i w:val="0"/>
          <w:iCs w:val="0"/>
          <w:caps w:val="0"/>
          <w:color w:val="000000"/>
          <w:spacing w:val="0"/>
          <w:sz w:val="32"/>
          <w:szCs w:val="32"/>
          <w:shd w:val="clear" w:fill="FFFFFF"/>
          <w:vertAlign w:val="baseline"/>
        </w:rPr>
        <w:t>明确长护险基金纳入社会保障基金财政专户管理，实行单独建账、</w:t>
      </w:r>
      <w:r>
        <w:rPr>
          <w:rFonts w:hint="eastAsia" w:ascii="仿宋_GB2312" w:hAnsi="Arial" w:eastAsia="仿宋_GB2312" w:cs="仿宋_GB2312"/>
          <w:i w:val="0"/>
          <w:iCs w:val="0"/>
          <w:caps w:val="0"/>
          <w:color w:val="000000"/>
          <w:spacing w:val="0"/>
          <w:sz w:val="32"/>
          <w:szCs w:val="32"/>
          <w:shd w:val="clear" w:fill="FFFFFF"/>
          <w:vertAlign w:val="baseline"/>
          <w:lang w:val="en-US" w:eastAsia="zh-CN"/>
        </w:rPr>
        <w:t>独立核算</w:t>
      </w:r>
      <w:r>
        <w:rPr>
          <w:rFonts w:hint="eastAsia" w:ascii="仿宋_GB2312" w:hAnsi="Arial" w:eastAsia="仿宋_GB2312" w:cs="仿宋_GB2312"/>
          <w:i w:val="0"/>
          <w:iCs w:val="0"/>
          <w:caps w:val="0"/>
          <w:color w:val="000000"/>
          <w:spacing w:val="0"/>
          <w:sz w:val="32"/>
          <w:szCs w:val="32"/>
          <w:shd w:val="clear" w:fill="FFFFFF"/>
          <w:vertAlign w:val="baseline"/>
        </w:rPr>
        <w:t>、专款专用。</w:t>
      </w:r>
      <w:r>
        <w:rPr>
          <w:rFonts w:hint="eastAsia" w:ascii="仿宋_GB2312" w:hAnsi="Arial" w:eastAsia="仿宋_GB2312" w:cs="仿宋_GB2312"/>
          <w:i w:val="0"/>
          <w:iCs w:val="0"/>
          <w:caps w:val="0"/>
          <w:color w:val="000000"/>
          <w:spacing w:val="0"/>
          <w:sz w:val="32"/>
          <w:szCs w:val="32"/>
          <w:shd w:val="clear" w:fill="FFFFFF"/>
          <w:vertAlign w:val="baseline"/>
          <w:lang w:val="en-US" w:eastAsia="zh-CN"/>
        </w:rPr>
        <w:t>要求建立基金运行监控和风险防控机制，定期对基金收支及使用情况统计分析。</w:t>
      </w:r>
      <w:r>
        <w:rPr>
          <w:rFonts w:hint="eastAsia" w:ascii="仿宋_GB2312" w:hAnsi="Arial" w:eastAsia="仿宋_GB2312" w:cs="仿宋_GB2312"/>
          <w:i w:val="0"/>
          <w:iCs w:val="0"/>
          <w:caps w:val="0"/>
          <w:color w:val="000000"/>
          <w:spacing w:val="0"/>
          <w:sz w:val="32"/>
          <w:szCs w:val="32"/>
          <w:shd w:val="clear" w:fill="FFFFFF"/>
          <w:vertAlign w:val="baseline"/>
        </w:rPr>
        <w:t>建立基金</w:t>
      </w:r>
      <w:r>
        <w:rPr>
          <w:rFonts w:hint="eastAsia" w:ascii="仿宋_GB2312" w:hAnsi="Arial" w:eastAsia="仿宋_GB2312" w:cs="仿宋_GB2312"/>
          <w:i w:val="0"/>
          <w:iCs w:val="0"/>
          <w:caps w:val="0"/>
          <w:color w:val="000000"/>
          <w:spacing w:val="0"/>
          <w:sz w:val="32"/>
          <w:szCs w:val="32"/>
          <w:shd w:val="clear" w:fill="FFFFFF"/>
          <w:vertAlign w:val="baseline"/>
          <w:lang w:val="en-US" w:eastAsia="zh-CN"/>
        </w:rPr>
        <w:t>预决算管理制度，强化目标管理，做好</w:t>
      </w:r>
      <w:r>
        <w:rPr>
          <w:rFonts w:hint="eastAsia" w:ascii="仿宋_GB2312" w:hAnsi="Arial" w:eastAsia="仿宋_GB2312" w:cs="仿宋_GB2312"/>
          <w:i w:val="0"/>
          <w:iCs w:val="0"/>
          <w:caps w:val="0"/>
          <w:color w:val="000000"/>
          <w:spacing w:val="0"/>
          <w:sz w:val="32"/>
          <w:szCs w:val="32"/>
          <w:shd w:val="clear" w:fill="FFFFFF"/>
          <w:vertAlign w:val="baseline"/>
        </w:rPr>
        <w:t>绩效监控</w:t>
      </w:r>
      <w:r>
        <w:rPr>
          <w:rFonts w:hint="eastAsia" w:ascii="仿宋_GB2312" w:hAnsi="Arial" w:eastAsia="仿宋_GB2312" w:cs="仿宋_GB2312"/>
          <w:i w:val="0"/>
          <w:iCs w:val="0"/>
          <w:caps w:val="0"/>
          <w:color w:val="000000"/>
          <w:spacing w:val="0"/>
          <w:sz w:val="32"/>
          <w:szCs w:val="32"/>
          <w:shd w:val="clear" w:fill="FFFFFF"/>
          <w:vertAlign w:val="baseline"/>
          <w:lang w:val="en-US" w:eastAsia="zh-CN"/>
        </w:rPr>
        <w:t>和绩效评价。</w:t>
      </w:r>
    </w:p>
    <w:p w14:paraId="25D731D2">
      <w:pPr>
        <w:pStyle w:val="4"/>
        <w:pageBreakBefore w:val="0"/>
        <w:widowControl/>
        <w:numPr>
          <w:ilvl w:val="0"/>
          <w:numId w:val="0"/>
        </w:numPr>
        <w:kinsoku/>
        <w:wordWrap/>
        <w:overflowPunct/>
        <w:topLinePunct w:val="0"/>
        <w:autoSpaceDE/>
        <w:autoSpaceDN/>
        <w:bidi w:val="0"/>
        <w:adjustRightInd/>
        <w:snapToGrid/>
        <w:spacing w:line="580" w:lineRule="exact"/>
        <w:ind w:left="0" w:leftChars="0" w:firstLine="640"/>
        <w:textAlignment w:val="auto"/>
        <w:rPr>
          <w:rFonts w:hint="eastAsia" w:ascii="楷体_GB2312" w:hAnsi="楷体_GB2312" w:eastAsia="楷体_GB2312" w:cs="楷体_GB2312"/>
          <w:b w:val="0"/>
          <w:color w:val="auto"/>
          <w:u w:val="none"/>
        </w:rPr>
      </w:pPr>
      <w:r>
        <w:rPr>
          <w:rFonts w:hint="eastAsia"/>
          <w:color w:val="auto"/>
          <w:u w:val="none"/>
          <w:lang w:eastAsia="zh-CN"/>
        </w:rPr>
        <w:t>（</w:t>
      </w:r>
      <w:r>
        <w:rPr>
          <w:rFonts w:hint="eastAsia"/>
          <w:color w:val="auto"/>
          <w:u w:val="none"/>
          <w:lang w:val="en-US" w:eastAsia="zh-CN"/>
        </w:rPr>
        <w:t>四</w:t>
      </w:r>
      <w:r>
        <w:rPr>
          <w:rFonts w:hint="eastAsia"/>
          <w:color w:val="auto"/>
          <w:u w:val="none"/>
          <w:lang w:eastAsia="zh-CN"/>
        </w:rPr>
        <w:t>）</w:t>
      </w:r>
      <w:bookmarkStart w:id="7" w:name="heading_9"/>
      <w:r>
        <w:rPr>
          <w:color w:val="auto"/>
          <w:u w:val="none"/>
        </w:rPr>
        <w:t>待遇保障</w:t>
      </w:r>
      <w:bookmarkEnd w:id="7"/>
    </w:p>
    <w:p w14:paraId="6AF41ADF">
      <w:pPr>
        <w:pStyle w:val="2"/>
        <w:pageBreakBefore w:val="0"/>
        <w:widowControl/>
        <w:kinsoku/>
        <w:wordWrap/>
        <w:overflowPunct/>
        <w:topLinePunct w:val="0"/>
        <w:autoSpaceDE/>
        <w:autoSpaceDN/>
        <w:bidi w:val="0"/>
        <w:adjustRightInd/>
        <w:snapToGrid/>
        <w:spacing w:line="580" w:lineRule="exact"/>
        <w:ind w:left="0" w:leftChars="0" w:firstLine="640" w:firstLineChars="200"/>
        <w:textAlignment w:val="auto"/>
        <w:rPr>
          <w:rFonts w:hint="default" w:ascii="Times New Roman" w:hAnsi="Times New Roman" w:eastAsia="仿宋_GB2312" w:cs="仿宋_GB2312"/>
          <w:color w:val="auto"/>
          <w:sz w:val="32"/>
          <w:szCs w:val="32"/>
          <w:u w:val="none"/>
          <w:lang w:val="en-US" w:eastAsia="zh-CN"/>
        </w:rPr>
      </w:pPr>
      <w:r>
        <w:rPr>
          <w:rFonts w:hint="eastAsia" w:ascii="仿宋_GB2312" w:hAnsi="Arial" w:eastAsia="仿宋_GB2312" w:cs="仿宋_GB2312"/>
          <w:i w:val="0"/>
          <w:iCs w:val="0"/>
          <w:caps w:val="0"/>
          <w:color w:val="000000"/>
          <w:spacing w:val="0"/>
          <w:sz w:val="32"/>
          <w:szCs w:val="32"/>
          <w:shd w:val="clear" w:fill="FFFFFF"/>
          <w:vertAlign w:val="baseline"/>
        </w:rPr>
        <w:t>明确</w:t>
      </w:r>
      <w:r>
        <w:rPr>
          <w:rFonts w:hint="eastAsia" w:ascii="仿宋_GB2312" w:hAnsi="Arial" w:eastAsia="仿宋_GB2312" w:cs="仿宋_GB2312"/>
          <w:i w:val="0"/>
          <w:iCs w:val="0"/>
          <w:caps w:val="0"/>
          <w:color w:val="000000"/>
          <w:spacing w:val="0"/>
          <w:sz w:val="32"/>
          <w:szCs w:val="32"/>
          <w:shd w:val="clear" w:fill="FFFFFF"/>
          <w:vertAlign w:val="baseline"/>
          <w:lang w:val="en-US" w:eastAsia="zh-CN"/>
        </w:rPr>
        <w:t>保障对象为按规定</w:t>
      </w:r>
      <w:r>
        <w:rPr>
          <w:rFonts w:hint="eastAsia" w:ascii="仿宋_GB2312" w:hAnsi="Arial" w:eastAsia="仿宋_GB2312" w:cs="仿宋_GB2312"/>
          <w:i w:val="0"/>
          <w:iCs w:val="0"/>
          <w:caps w:val="0"/>
          <w:color w:val="000000"/>
          <w:spacing w:val="0"/>
          <w:sz w:val="32"/>
          <w:szCs w:val="32"/>
          <w:shd w:val="clear" w:fill="FFFFFF"/>
          <w:vertAlign w:val="baseline"/>
        </w:rPr>
        <w:t>参保缴费</w:t>
      </w:r>
      <w:r>
        <w:rPr>
          <w:rFonts w:hint="eastAsia" w:ascii="仿宋_GB2312" w:hAnsi="Arial" w:cs="仿宋_GB2312"/>
          <w:i w:val="0"/>
          <w:iCs w:val="0"/>
          <w:caps w:val="0"/>
          <w:color w:val="000000"/>
          <w:spacing w:val="0"/>
          <w:sz w:val="32"/>
          <w:szCs w:val="32"/>
          <w:shd w:val="clear" w:fill="FFFFFF"/>
          <w:vertAlign w:val="baseline"/>
          <w:lang w:eastAsia="zh-CN"/>
        </w:rPr>
        <w:t>，</w:t>
      </w:r>
      <w:r>
        <w:rPr>
          <w:rFonts w:hint="eastAsia" w:ascii="仿宋_GB2312" w:hAnsi="Arial" w:eastAsia="仿宋_GB2312" w:cs="仿宋_GB2312"/>
          <w:i w:val="0"/>
          <w:iCs w:val="0"/>
          <w:caps w:val="0"/>
          <w:color w:val="000000"/>
          <w:spacing w:val="0"/>
          <w:sz w:val="32"/>
          <w:szCs w:val="32"/>
          <w:shd w:val="clear" w:fill="FFFFFF"/>
          <w:vertAlign w:val="baseline"/>
          <w:lang w:val="en-US" w:eastAsia="zh-CN"/>
        </w:rPr>
        <w:t>经医疗机构或康复机构规范诊疗</w:t>
      </w:r>
      <w:r>
        <w:rPr>
          <w:rFonts w:hint="eastAsia" w:ascii="仿宋_GB2312" w:hAnsi="Arial" w:eastAsia="仿宋_GB2312" w:cs="仿宋_GB2312"/>
          <w:i w:val="0"/>
          <w:iCs w:val="0"/>
          <w:caps w:val="0"/>
          <w:color w:val="000000"/>
          <w:spacing w:val="0"/>
          <w:sz w:val="32"/>
          <w:szCs w:val="32"/>
          <w:shd w:val="clear" w:fill="FFFFFF"/>
          <w:vertAlign w:val="baseline"/>
        </w:rPr>
        <w:t>失能状态长期持续</w:t>
      </w:r>
      <w:r>
        <w:rPr>
          <w:rFonts w:hint="eastAsia" w:ascii="仿宋_GB2312" w:hAnsi="Arial" w:cs="仿宋_GB2312"/>
          <w:i w:val="0"/>
          <w:iCs w:val="0"/>
          <w:caps w:val="0"/>
          <w:color w:val="000000"/>
          <w:spacing w:val="0"/>
          <w:sz w:val="32"/>
          <w:szCs w:val="32"/>
          <w:shd w:val="clear" w:fill="FFFFFF"/>
          <w:vertAlign w:val="baseline"/>
          <w:lang w:val="en-US" w:eastAsia="zh-CN"/>
        </w:rPr>
        <w:t>至少</w:t>
      </w:r>
      <w:r>
        <w:rPr>
          <w:rFonts w:hint="eastAsia" w:ascii="仿宋_GB2312" w:hAnsi="Arial" w:eastAsia="仿宋_GB2312" w:cs="仿宋_GB2312"/>
          <w:i w:val="0"/>
          <w:iCs w:val="0"/>
          <w:caps w:val="0"/>
          <w:color w:val="000000"/>
          <w:spacing w:val="0"/>
          <w:sz w:val="32"/>
          <w:szCs w:val="32"/>
          <w:shd w:val="clear" w:fill="FFFFFF"/>
          <w:vertAlign w:val="baseline"/>
        </w:rPr>
        <w:t>6个月以上</w:t>
      </w:r>
      <w:r>
        <w:rPr>
          <w:rFonts w:hint="eastAsia" w:ascii="仿宋_GB2312" w:hAnsi="Arial" w:cs="仿宋_GB2312"/>
          <w:i w:val="0"/>
          <w:iCs w:val="0"/>
          <w:caps w:val="0"/>
          <w:color w:val="000000"/>
          <w:spacing w:val="0"/>
          <w:sz w:val="32"/>
          <w:szCs w:val="32"/>
          <w:shd w:val="clear" w:fill="FFFFFF"/>
          <w:vertAlign w:val="baseline"/>
          <w:lang w:eastAsia="zh-CN"/>
        </w:rPr>
        <w:t>，</w:t>
      </w:r>
      <w:r>
        <w:rPr>
          <w:rFonts w:hint="eastAsia" w:ascii="仿宋_GB2312" w:hAnsi="Arial" w:eastAsia="仿宋_GB2312" w:cs="仿宋_GB2312"/>
          <w:i w:val="0"/>
          <w:iCs w:val="0"/>
          <w:caps w:val="0"/>
          <w:color w:val="000000"/>
          <w:spacing w:val="0"/>
          <w:sz w:val="32"/>
          <w:szCs w:val="32"/>
          <w:shd w:val="clear" w:fill="FFFFFF"/>
          <w:vertAlign w:val="baseline"/>
          <w:lang w:val="en-US" w:eastAsia="zh-CN"/>
        </w:rPr>
        <w:t>通过失能等级评估认定的人员。明确长护险基金支付范围为符合规定的长期护理服务机构和人员为保障对象提供基本护理服务所发生的费用</w:t>
      </w:r>
      <w:r>
        <w:rPr>
          <w:rFonts w:hint="eastAsia" w:ascii="仿宋_GB2312" w:hAnsi="Arial" w:cs="仿宋_GB2312"/>
          <w:i w:val="0"/>
          <w:iCs w:val="0"/>
          <w:caps w:val="0"/>
          <w:color w:val="000000"/>
          <w:spacing w:val="0"/>
          <w:sz w:val="32"/>
          <w:szCs w:val="32"/>
          <w:shd w:val="clear" w:fill="FFFFFF"/>
          <w:vertAlign w:val="baseline"/>
          <w:lang w:val="en-US" w:eastAsia="zh-CN"/>
        </w:rPr>
        <w:t>。</w:t>
      </w:r>
      <w:r>
        <w:rPr>
          <w:rFonts w:hint="eastAsia" w:ascii="仿宋_GB2312" w:hAnsi="Arial" w:eastAsia="仿宋_GB2312" w:cs="仿宋_GB2312"/>
          <w:i w:val="0"/>
          <w:iCs w:val="0"/>
          <w:caps w:val="0"/>
          <w:color w:val="000000"/>
          <w:spacing w:val="0"/>
          <w:sz w:val="32"/>
          <w:szCs w:val="32"/>
          <w:shd w:val="clear" w:fill="FFFFFF"/>
          <w:vertAlign w:val="baseline"/>
        </w:rPr>
        <w:t>明确不同参保群体(职工、居民)在不同护理类型下的基金支付比例、年度最高支付限额</w:t>
      </w:r>
      <w:r>
        <w:rPr>
          <w:rFonts w:hint="eastAsia" w:ascii="仿宋_GB2312" w:hAnsi="Arial" w:cs="仿宋_GB2312"/>
          <w:i w:val="0"/>
          <w:iCs w:val="0"/>
          <w:caps w:val="0"/>
          <w:color w:val="000000"/>
          <w:spacing w:val="0"/>
          <w:sz w:val="32"/>
          <w:szCs w:val="32"/>
          <w:shd w:val="clear" w:fill="FFFFFF"/>
          <w:vertAlign w:val="baseline"/>
          <w:lang w:eastAsia="zh-CN"/>
        </w:rPr>
        <w:t>。</w:t>
      </w:r>
      <w:r>
        <w:rPr>
          <w:rFonts w:hint="eastAsia" w:ascii="仿宋_GB2312" w:hAnsi="Arial" w:cs="仿宋_GB2312"/>
          <w:i w:val="0"/>
          <w:iCs w:val="0"/>
          <w:caps w:val="0"/>
          <w:color w:val="000000"/>
          <w:spacing w:val="0"/>
          <w:sz w:val="32"/>
          <w:szCs w:val="32"/>
          <w:shd w:val="clear" w:fill="FFFFFF"/>
          <w:vertAlign w:val="baseline"/>
          <w:lang w:val="en-US" w:eastAsia="zh-CN"/>
        </w:rPr>
        <w:t>明确居家和社区长期护理服务时长和服务标准。</w:t>
      </w:r>
      <w:r>
        <w:rPr>
          <w:rFonts w:hint="eastAsia" w:ascii="仿宋_GB2312" w:hAnsi="Arial" w:eastAsia="仿宋_GB2312" w:cs="仿宋_GB2312"/>
          <w:i w:val="0"/>
          <w:iCs w:val="0"/>
          <w:caps w:val="0"/>
          <w:color w:val="000000"/>
          <w:spacing w:val="0"/>
          <w:sz w:val="32"/>
          <w:szCs w:val="32"/>
          <w:shd w:val="clear" w:fill="FFFFFF"/>
          <w:vertAlign w:val="baseline"/>
        </w:rPr>
        <w:t>建立</w:t>
      </w:r>
      <w:r>
        <w:rPr>
          <w:rFonts w:hint="eastAsia" w:ascii="仿宋_GB2312" w:hAnsi="Arial" w:cs="仿宋_GB2312"/>
          <w:i w:val="0"/>
          <w:iCs w:val="0"/>
          <w:caps w:val="0"/>
          <w:color w:val="000000"/>
          <w:spacing w:val="0"/>
          <w:sz w:val="32"/>
          <w:szCs w:val="32"/>
          <w:shd w:val="clear" w:fill="FFFFFF"/>
          <w:vertAlign w:val="baseline"/>
          <w:lang w:val="en-US" w:eastAsia="zh-CN"/>
        </w:rPr>
        <w:t>缴费时长与待遇水平相挂钩的参保激励约束机制。明确长护险待遇与其他部门待遇衔接</w:t>
      </w:r>
      <w:r>
        <w:rPr>
          <w:rFonts w:hint="eastAsia" w:ascii="仿宋_GB2312" w:hAnsi="Arial" w:cs="仿宋_GB2312"/>
          <w:i w:val="0"/>
          <w:iCs w:val="0"/>
          <w:caps w:val="0"/>
          <w:color w:val="000000"/>
          <w:spacing w:val="0"/>
          <w:sz w:val="32"/>
          <w:szCs w:val="32"/>
          <w:shd w:val="clear" w:fill="FFFFFF"/>
          <w:vertAlign w:val="baseline"/>
          <w:lang w:eastAsia="zh-CN"/>
        </w:rPr>
        <w:t>。</w:t>
      </w:r>
      <w:r>
        <w:rPr>
          <w:rFonts w:hint="eastAsia" w:ascii="仿宋_GB2312" w:hAnsi="Arial" w:cs="仿宋_GB2312"/>
          <w:i w:val="0"/>
          <w:iCs w:val="0"/>
          <w:caps w:val="0"/>
          <w:color w:val="000000"/>
          <w:spacing w:val="0"/>
          <w:sz w:val="32"/>
          <w:szCs w:val="32"/>
          <w:shd w:val="clear" w:fill="FFFFFF"/>
          <w:vertAlign w:val="baseline"/>
          <w:lang w:val="en-US" w:eastAsia="zh-CN"/>
        </w:rPr>
        <w:t>明确待遇终止情形。</w:t>
      </w:r>
    </w:p>
    <w:bookmarkEnd w:id="6"/>
    <w:p w14:paraId="058898B7">
      <w:pPr>
        <w:pStyle w:val="4"/>
        <w:pageBreakBefore w:val="0"/>
        <w:widowControl/>
        <w:numPr>
          <w:ilvl w:val="0"/>
          <w:numId w:val="0"/>
        </w:numPr>
        <w:kinsoku/>
        <w:wordWrap/>
        <w:overflowPunct/>
        <w:topLinePunct w:val="0"/>
        <w:autoSpaceDE/>
        <w:autoSpaceDN/>
        <w:bidi w:val="0"/>
        <w:adjustRightInd/>
        <w:snapToGrid/>
        <w:spacing w:line="580" w:lineRule="exact"/>
        <w:ind w:left="0" w:leftChars="0" w:firstLine="640"/>
        <w:textAlignment w:val="auto"/>
        <w:rPr>
          <w:rFonts w:hint="eastAsia" w:ascii="楷体_GB2312" w:hAnsi="楷体_GB2312" w:eastAsia="楷体_GB2312" w:cs="楷体_GB2312"/>
          <w:b w:val="0"/>
          <w:color w:val="auto"/>
          <w:u w:val="none"/>
        </w:rPr>
      </w:pPr>
      <w:bookmarkStart w:id="8" w:name="heading_7"/>
      <w:r>
        <w:rPr>
          <w:rFonts w:hint="eastAsia"/>
          <w:color w:val="auto"/>
          <w:u w:val="none"/>
          <w:lang w:eastAsia="zh-CN"/>
        </w:rPr>
        <w:t>（</w:t>
      </w:r>
      <w:r>
        <w:rPr>
          <w:rFonts w:hint="eastAsia"/>
          <w:color w:val="auto"/>
          <w:u w:val="none"/>
          <w:lang w:val="en-US" w:eastAsia="zh-CN"/>
        </w:rPr>
        <w:t>五</w:t>
      </w:r>
      <w:r>
        <w:rPr>
          <w:rFonts w:hint="eastAsia"/>
          <w:color w:val="auto"/>
          <w:u w:val="none"/>
          <w:lang w:eastAsia="zh-CN"/>
        </w:rPr>
        <w:t>）</w:t>
      </w:r>
      <w:r>
        <w:rPr>
          <w:color w:val="auto"/>
          <w:u w:val="none"/>
        </w:rPr>
        <w:t>失能评估</w:t>
      </w:r>
      <w:bookmarkEnd w:id="8"/>
    </w:p>
    <w:p w14:paraId="5BB1473A">
      <w:pPr>
        <w:pStyle w:val="2"/>
        <w:pageBreakBefore w:val="0"/>
        <w:widowControl/>
        <w:kinsoku/>
        <w:wordWrap/>
        <w:overflowPunct/>
        <w:topLinePunct w:val="0"/>
        <w:autoSpaceDE/>
        <w:autoSpaceDN/>
        <w:bidi w:val="0"/>
        <w:adjustRightInd/>
        <w:snapToGrid/>
        <w:spacing w:line="580" w:lineRule="exact"/>
        <w:textAlignment w:val="auto"/>
        <w:rPr>
          <w:rFonts w:ascii="Times New Roman" w:hAnsi="Times New Roman" w:eastAsia="仿宋_GB2312" w:cs="仿宋_GB2312"/>
          <w:color w:val="auto"/>
          <w:sz w:val="32"/>
          <w:szCs w:val="32"/>
          <w:u w:val="none"/>
        </w:rPr>
      </w:pPr>
      <w:r>
        <w:rPr>
          <w:rFonts w:hint="eastAsia" w:cs="仿宋_GB2312"/>
          <w:color w:val="auto"/>
          <w:sz w:val="32"/>
          <w:szCs w:val="32"/>
          <w:u w:val="none"/>
          <w:lang w:val="en-US" w:eastAsia="zh-CN"/>
        </w:rPr>
        <w:t>明确失能等级评估机构实行定点管理。医疗保障行政部门根据失能人员规模和行业发展实际，合理确定区域分布数量和资源配置；医保经办机构具体负责确定评估机构，双方签订服务协议。定点评估机构严格按照国家和省有关标准对失能人员开展失能等级评估。建立评估服务费合理分担机制，</w:t>
      </w:r>
      <w:r>
        <w:rPr>
          <w:rFonts w:hint="eastAsia" w:ascii="仿宋_GB2312" w:hAnsi="Arial" w:eastAsia="仿宋_GB2312" w:cs="仿宋_GB2312"/>
          <w:i w:val="0"/>
          <w:iCs w:val="0"/>
          <w:caps w:val="0"/>
          <w:color w:val="000000"/>
          <w:spacing w:val="0"/>
          <w:sz w:val="32"/>
          <w:szCs w:val="32"/>
          <w:shd w:val="clear" w:fill="FFFFFF"/>
          <w:vertAlign w:val="baseline"/>
        </w:rPr>
        <w:t>评估费用由基金和个人按规定分担</w:t>
      </w:r>
      <w:r>
        <w:rPr>
          <w:rFonts w:ascii="Times New Roman" w:hAnsi="Times New Roman" w:eastAsia="仿宋_GB2312" w:cs="仿宋_GB2312"/>
          <w:color w:val="auto"/>
          <w:sz w:val="32"/>
          <w:szCs w:val="32"/>
          <w:u w:val="none"/>
        </w:rPr>
        <w:t>。</w:t>
      </w:r>
    </w:p>
    <w:p w14:paraId="7233C19A">
      <w:pPr>
        <w:pStyle w:val="4"/>
        <w:pageBreakBefore w:val="0"/>
        <w:widowControl/>
        <w:numPr>
          <w:ilvl w:val="0"/>
          <w:numId w:val="0"/>
        </w:numPr>
        <w:kinsoku/>
        <w:wordWrap/>
        <w:overflowPunct/>
        <w:topLinePunct w:val="0"/>
        <w:autoSpaceDE/>
        <w:autoSpaceDN/>
        <w:bidi w:val="0"/>
        <w:adjustRightInd/>
        <w:snapToGrid/>
        <w:spacing w:line="580" w:lineRule="exact"/>
        <w:ind w:left="0" w:leftChars="0" w:firstLine="640"/>
        <w:textAlignment w:val="auto"/>
        <w:rPr>
          <w:rFonts w:hint="eastAsia" w:ascii="楷体_GB2312" w:hAnsi="楷体_GB2312" w:eastAsia="楷体_GB2312" w:cs="楷体_GB2312"/>
          <w:b w:val="0"/>
          <w:color w:val="auto"/>
          <w:u w:val="none"/>
        </w:rPr>
      </w:pPr>
      <w:bookmarkStart w:id="9" w:name="heading_8"/>
      <w:r>
        <w:rPr>
          <w:rFonts w:hint="eastAsia"/>
          <w:color w:val="auto"/>
          <w:u w:val="none"/>
          <w:lang w:eastAsia="zh-CN"/>
        </w:rPr>
        <w:t>（</w:t>
      </w:r>
      <w:r>
        <w:rPr>
          <w:rFonts w:hint="eastAsia"/>
          <w:color w:val="auto"/>
          <w:u w:val="none"/>
          <w:lang w:val="en-US" w:eastAsia="zh-CN"/>
        </w:rPr>
        <w:t>六</w:t>
      </w:r>
      <w:r>
        <w:rPr>
          <w:rFonts w:hint="eastAsia"/>
          <w:color w:val="auto"/>
          <w:u w:val="none"/>
          <w:lang w:eastAsia="zh-CN"/>
        </w:rPr>
        <w:t>）</w:t>
      </w:r>
      <w:r>
        <w:rPr>
          <w:color w:val="auto"/>
          <w:u w:val="none"/>
        </w:rPr>
        <w:t>护理服务</w:t>
      </w:r>
      <w:bookmarkEnd w:id="9"/>
    </w:p>
    <w:p w14:paraId="16AF7DC6">
      <w:pPr>
        <w:pStyle w:val="2"/>
        <w:pageBreakBefore w:val="0"/>
        <w:widowControl/>
        <w:kinsoku/>
        <w:wordWrap/>
        <w:overflowPunct/>
        <w:topLinePunct w:val="0"/>
        <w:autoSpaceDE/>
        <w:autoSpaceDN/>
        <w:bidi w:val="0"/>
        <w:adjustRightInd/>
        <w:snapToGrid/>
        <w:spacing w:line="580" w:lineRule="exact"/>
        <w:textAlignment w:val="auto"/>
        <w:rPr>
          <w:rFonts w:hint="default" w:ascii="Times New Roman" w:hAnsi="Times New Roman" w:eastAsia="仿宋_GB2312" w:cs="仿宋_GB2312"/>
          <w:color w:val="auto"/>
          <w:sz w:val="32"/>
          <w:szCs w:val="32"/>
          <w:u w:val="none"/>
          <w:lang w:val="en-US"/>
        </w:rPr>
      </w:pPr>
      <w:r>
        <w:rPr>
          <w:rFonts w:hint="eastAsia" w:cs="仿宋_GB2312"/>
          <w:color w:val="auto"/>
          <w:sz w:val="32"/>
          <w:szCs w:val="32"/>
          <w:u w:val="none"/>
          <w:lang w:val="en-US" w:eastAsia="zh-CN"/>
        </w:rPr>
        <w:t>长期护理服务机构实行定点管理。区域内符合长护险定点管理规定、能够为失能人员提供长期护理服务的养老机构、医疗机构以及业务范围包括养老服务、照护服务或者护理服务的其他服务机构均可申请定点。医疗保障部门统筹规划全市长期护理服务机构配置；医保经办机构根据实际护理需求，分批次择优纳入，实行“能进能出”的动态管理机制。对定点长期护理服务机构运行管理和服务供给作出规范。</w:t>
      </w:r>
    </w:p>
    <w:p w14:paraId="75A8A50A">
      <w:pPr>
        <w:pStyle w:val="4"/>
        <w:pageBreakBefore w:val="0"/>
        <w:widowControl/>
        <w:numPr>
          <w:ilvl w:val="0"/>
          <w:numId w:val="0"/>
        </w:numPr>
        <w:kinsoku/>
        <w:wordWrap/>
        <w:overflowPunct/>
        <w:topLinePunct w:val="0"/>
        <w:autoSpaceDE/>
        <w:autoSpaceDN/>
        <w:bidi w:val="0"/>
        <w:adjustRightInd/>
        <w:snapToGrid/>
        <w:spacing w:line="580" w:lineRule="exact"/>
        <w:ind w:left="0" w:leftChars="0" w:firstLine="640"/>
        <w:textAlignment w:val="auto"/>
        <w:rPr>
          <w:rFonts w:hint="eastAsia" w:ascii="楷体_GB2312" w:hAnsi="楷体_GB2312" w:eastAsia="楷体_GB2312" w:cs="楷体_GB2312"/>
          <w:b w:val="0"/>
          <w:color w:val="auto"/>
          <w:u w:val="none"/>
        </w:rPr>
      </w:pPr>
      <w:bookmarkStart w:id="10" w:name="heading_10"/>
      <w:r>
        <w:rPr>
          <w:rFonts w:hint="eastAsia"/>
          <w:color w:val="auto"/>
          <w:u w:val="none"/>
          <w:lang w:eastAsia="zh-CN"/>
        </w:rPr>
        <w:t>（</w:t>
      </w:r>
      <w:r>
        <w:rPr>
          <w:rFonts w:hint="eastAsia"/>
          <w:color w:val="auto"/>
          <w:u w:val="none"/>
          <w:lang w:val="en-US" w:eastAsia="zh-CN"/>
        </w:rPr>
        <w:t>七</w:t>
      </w:r>
      <w:r>
        <w:rPr>
          <w:rFonts w:hint="eastAsia"/>
          <w:color w:val="auto"/>
          <w:u w:val="none"/>
          <w:lang w:eastAsia="zh-CN"/>
        </w:rPr>
        <w:t>）</w:t>
      </w:r>
      <w:r>
        <w:rPr>
          <w:color w:val="auto"/>
          <w:u w:val="none"/>
        </w:rPr>
        <w:t>经办服务管理</w:t>
      </w:r>
      <w:bookmarkEnd w:id="10"/>
    </w:p>
    <w:p w14:paraId="430B8662">
      <w:pPr>
        <w:pStyle w:val="2"/>
        <w:pageBreakBefore w:val="0"/>
        <w:widowControl/>
        <w:kinsoku/>
        <w:wordWrap/>
        <w:overflowPunct/>
        <w:topLinePunct w:val="0"/>
        <w:autoSpaceDE/>
        <w:autoSpaceDN/>
        <w:bidi w:val="0"/>
        <w:adjustRightInd/>
        <w:snapToGrid/>
        <w:spacing w:line="580" w:lineRule="exact"/>
        <w:textAlignment w:val="auto"/>
        <w:rPr>
          <w:rFonts w:ascii="Times New Roman" w:hAnsi="Times New Roman" w:eastAsia="仿宋_GB2312" w:cs="仿宋_GB2312"/>
          <w:color w:val="auto"/>
          <w:sz w:val="32"/>
          <w:szCs w:val="32"/>
          <w:u w:val="none"/>
        </w:rPr>
      </w:pPr>
      <w:r>
        <w:rPr>
          <w:rFonts w:hint="eastAsia" w:cs="仿宋_GB2312"/>
          <w:color w:val="auto"/>
          <w:sz w:val="32"/>
          <w:szCs w:val="32"/>
          <w:u w:val="none"/>
          <w:lang w:val="en-US" w:eastAsia="zh-CN"/>
        </w:rPr>
        <w:t>明确市县两级医疗保障经办机构负责长护保险参保登记管理、定点评估机构和定点长期护理机构协议管理、核查考核、费用审核结算、信息系统建设以及对第三方承办机构考核管理等日常经办管理工作职责。明确医保经办机构可通过公开招标方式引入第三方机构参与长护险经办工作。明确医保经办机构负责建设、管理与维护全市长护险信息管理系统，市县待遇申请、等级评估、护理服务、经办管理、日常监督一体化管理。</w:t>
      </w:r>
    </w:p>
    <w:p w14:paraId="551CA85C">
      <w:pPr>
        <w:pStyle w:val="4"/>
        <w:pageBreakBefore w:val="0"/>
        <w:widowControl/>
        <w:numPr>
          <w:ilvl w:val="0"/>
          <w:numId w:val="0"/>
        </w:numPr>
        <w:kinsoku/>
        <w:wordWrap/>
        <w:overflowPunct/>
        <w:topLinePunct w:val="0"/>
        <w:autoSpaceDE/>
        <w:autoSpaceDN/>
        <w:bidi w:val="0"/>
        <w:adjustRightInd/>
        <w:snapToGrid/>
        <w:spacing w:line="580" w:lineRule="exact"/>
        <w:ind w:left="0" w:leftChars="0" w:firstLine="640"/>
        <w:textAlignment w:val="auto"/>
        <w:rPr>
          <w:rFonts w:hint="eastAsia" w:ascii="楷体_GB2312" w:hAnsi="楷体_GB2312" w:eastAsia="楷体_GB2312" w:cs="楷体_GB2312"/>
          <w:b w:val="0"/>
          <w:color w:val="auto"/>
          <w:u w:val="none"/>
          <w:lang w:val="en-US"/>
        </w:rPr>
      </w:pPr>
      <w:bookmarkStart w:id="11" w:name="heading_11"/>
      <w:r>
        <w:rPr>
          <w:rFonts w:hint="eastAsia"/>
          <w:color w:val="auto"/>
          <w:u w:val="none"/>
          <w:lang w:eastAsia="zh-CN"/>
        </w:rPr>
        <w:t>（八）</w:t>
      </w:r>
      <w:bookmarkEnd w:id="11"/>
      <w:r>
        <w:rPr>
          <w:rFonts w:hint="eastAsia"/>
          <w:color w:val="auto"/>
          <w:u w:val="none"/>
          <w:lang w:val="en-US" w:eastAsia="zh-CN"/>
        </w:rPr>
        <w:t>监督考核与管理</w:t>
      </w:r>
    </w:p>
    <w:p w14:paraId="09E91DC8">
      <w:pPr>
        <w:pStyle w:val="2"/>
        <w:pageBreakBefore w:val="0"/>
        <w:widowControl/>
        <w:kinsoku/>
        <w:wordWrap/>
        <w:overflowPunct/>
        <w:topLinePunct w:val="0"/>
        <w:autoSpaceDE/>
        <w:autoSpaceDN/>
        <w:bidi w:val="0"/>
        <w:adjustRightInd/>
        <w:snapToGrid/>
        <w:spacing w:line="580" w:lineRule="exact"/>
        <w:textAlignment w:val="auto"/>
        <w:rPr>
          <w:rFonts w:ascii="Times New Roman" w:hAnsi="Times New Roman" w:eastAsia="仿宋_GB2312" w:cs="仿宋_GB2312"/>
          <w:color w:val="auto"/>
          <w:sz w:val="32"/>
          <w:szCs w:val="32"/>
          <w:u w:val="none"/>
        </w:rPr>
      </w:pPr>
      <w:r>
        <w:rPr>
          <w:rFonts w:ascii="Times New Roman" w:hAnsi="Times New Roman" w:eastAsia="仿宋_GB2312" w:cs="仿宋_GB2312"/>
          <w:color w:val="auto"/>
          <w:sz w:val="32"/>
          <w:szCs w:val="32"/>
          <w:u w:val="none"/>
        </w:rPr>
        <w:t>明确</w:t>
      </w:r>
      <w:r>
        <w:rPr>
          <w:rFonts w:hint="eastAsia" w:cs="仿宋_GB2312"/>
          <w:color w:val="auto"/>
          <w:sz w:val="32"/>
          <w:szCs w:val="32"/>
          <w:u w:val="none"/>
          <w:lang w:val="en-US" w:eastAsia="zh-CN"/>
        </w:rPr>
        <w:t>医疗保障经办机构对定点评估机构、定点长期护理服务机构和第三方机构进行年度考核，考核结果按照协议约定处理。明确医保经办机构作为长护险经办工作的实施主体，负责对定点评估机构、定点长护服务机构、第三方机构实施履约情况核查，对双方之间的争议如何处理作出明确规定。要求</w:t>
      </w:r>
      <w:r>
        <w:rPr>
          <w:rFonts w:ascii="Times New Roman" w:hAnsi="Times New Roman" w:eastAsia="仿宋_GB2312" w:cs="仿宋_GB2312"/>
          <w:color w:val="auto"/>
          <w:sz w:val="32"/>
          <w:szCs w:val="32"/>
          <w:u w:val="none"/>
        </w:rPr>
        <w:t>医保行政部门</w:t>
      </w:r>
      <w:r>
        <w:rPr>
          <w:rFonts w:hint="eastAsia" w:cs="仿宋_GB2312"/>
          <w:color w:val="auto"/>
          <w:sz w:val="32"/>
          <w:szCs w:val="32"/>
          <w:u w:val="none"/>
          <w:lang w:val="en-US" w:eastAsia="zh-CN"/>
        </w:rPr>
        <w:t>发挥</w:t>
      </w:r>
      <w:r>
        <w:rPr>
          <w:rFonts w:ascii="Times New Roman" w:hAnsi="Times New Roman" w:eastAsia="仿宋_GB2312" w:cs="仿宋_GB2312"/>
          <w:color w:val="auto"/>
          <w:sz w:val="32"/>
          <w:szCs w:val="32"/>
          <w:u w:val="none"/>
        </w:rPr>
        <w:t>监管职责，</w:t>
      </w:r>
      <w:r>
        <w:rPr>
          <w:rFonts w:hint="eastAsia" w:cs="仿宋_GB2312"/>
          <w:color w:val="auto"/>
          <w:sz w:val="32"/>
          <w:szCs w:val="32"/>
          <w:u w:val="none"/>
          <w:lang w:val="en-US" w:eastAsia="zh-CN"/>
        </w:rPr>
        <w:t>建立参保人或代理人及各类机构信用等级评价管理机制和从业人员支付资格管理机制。建立举报投诉、信息披露、欺诈防范风险管理机制。建立健全与行业主管部门联合监管机制。明确各方违反长护险管理规定，参照相应的法律法规及协议约定进行处理。</w:t>
      </w:r>
    </w:p>
    <w:p w14:paraId="46645D0E">
      <w:pPr>
        <w:pStyle w:val="4"/>
        <w:pageBreakBefore w:val="0"/>
        <w:widowControl/>
        <w:numPr>
          <w:ilvl w:val="0"/>
          <w:numId w:val="0"/>
        </w:numPr>
        <w:kinsoku/>
        <w:wordWrap/>
        <w:overflowPunct/>
        <w:topLinePunct w:val="0"/>
        <w:autoSpaceDE/>
        <w:autoSpaceDN/>
        <w:bidi w:val="0"/>
        <w:adjustRightInd/>
        <w:snapToGrid/>
        <w:spacing w:line="580" w:lineRule="exact"/>
        <w:ind w:left="0" w:leftChars="0" w:firstLine="640"/>
        <w:textAlignment w:val="auto"/>
        <w:rPr>
          <w:rFonts w:hint="eastAsia" w:ascii="楷体_GB2312" w:hAnsi="楷体_GB2312" w:eastAsia="楷体_GB2312" w:cs="楷体_GB2312"/>
          <w:b w:val="0"/>
          <w:color w:val="auto"/>
          <w:u w:val="none"/>
        </w:rPr>
      </w:pPr>
      <w:bookmarkStart w:id="12" w:name="heading_13"/>
      <w:r>
        <w:rPr>
          <w:rFonts w:hint="eastAsia"/>
          <w:color w:val="auto"/>
          <w:u w:val="none"/>
          <w:lang w:eastAsia="zh-CN"/>
        </w:rPr>
        <w:t>（十）</w:t>
      </w:r>
      <w:r>
        <w:rPr>
          <w:color w:val="auto"/>
          <w:u w:val="none"/>
        </w:rPr>
        <w:t>附则</w:t>
      </w:r>
      <w:bookmarkEnd w:id="12"/>
    </w:p>
    <w:p w14:paraId="6D3828B5">
      <w:pPr>
        <w:pStyle w:val="2"/>
        <w:pageBreakBefore w:val="0"/>
        <w:widowControl/>
        <w:kinsoku/>
        <w:wordWrap/>
        <w:overflowPunct/>
        <w:topLinePunct w:val="0"/>
        <w:autoSpaceDE/>
        <w:autoSpaceDN/>
        <w:bidi w:val="0"/>
        <w:adjustRightInd/>
        <w:snapToGrid/>
        <w:spacing w:line="580" w:lineRule="exact"/>
        <w:textAlignment w:val="auto"/>
        <w:rPr>
          <w:rFonts w:ascii="Times New Roman" w:hAnsi="Times New Roman" w:eastAsia="仿宋_GB2312" w:cs="仿宋_GB2312"/>
          <w:color w:val="auto"/>
          <w:sz w:val="32"/>
          <w:szCs w:val="32"/>
          <w:u w:val="none"/>
        </w:rPr>
      </w:pPr>
      <w:r>
        <w:rPr>
          <w:rFonts w:ascii="Times New Roman" w:hAnsi="Times New Roman" w:eastAsia="仿宋_GB2312" w:cs="仿宋_GB2312"/>
          <w:color w:val="auto"/>
          <w:sz w:val="32"/>
          <w:szCs w:val="32"/>
          <w:u w:val="none"/>
        </w:rPr>
        <w:t>明确</w:t>
      </w:r>
      <w:r>
        <w:rPr>
          <w:rFonts w:hint="eastAsia" w:cs="仿宋_GB2312"/>
          <w:color w:val="auto"/>
          <w:sz w:val="32"/>
          <w:szCs w:val="32"/>
          <w:u w:val="none"/>
          <w:lang w:val="en-US" w:eastAsia="zh-CN"/>
        </w:rPr>
        <w:t>了各相关部门的职责。明确了</w:t>
      </w:r>
      <w:r>
        <w:rPr>
          <w:rFonts w:ascii="Times New Roman" w:hAnsi="Times New Roman" w:eastAsia="仿宋_GB2312" w:cs="仿宋_GB2312"/>
          <w:color w:val="auto"/>
          <w:sz w:val="32"/>
          <w:szCs w:val="32"/>
          <w:u w:val="none"/>
        </w:rPr>
        <w:t>《实施细则》</w:t>
      </w:r>
      <w:r>
        <w:rPr>
          <w:rFonts w:hint="eastAsia" w:cs="仿宋_GB2312"/>
          <w:color w:val="auto"/>
          <w:sz w:val="32"/>
          <w:szCs w:val="32"/>
          <w:u w:val="none"/>
          <w:lang w:val="en-US" w:eastAsia="zh-CN"/>
        </w:rPr>
        <w:t>由医疗保障部门作出解释，规定了</w:t>
      </w:r>
      <w:r>
        <w:rPr>
          <w:rFonts w:ascii="Times New Roman" w:hAnsi="Times New Roman" w:eastAsia="仿宋_GB2312" w:cs="仿宋_GB2312"/>
          <w:color w:val="auto"/>
          <w:sz w:val="32"/>
          <w:szCs w:val="32"/>
          <w:u w:val="none"/>
        </w:rPr>
        <w:t>《实施细则》</w:t>
      </w:r>
      <w:r>
        <w:rPr>
          <w:rFonts w:hint="eastAsia" w:cs="仿宋_GB2312"/>
          <w:color w:val="auto"/>
          <w:sz w:val="32"/>
          <w:szCs w:val="32"/>
          <w:u w:val="none"/>
          <w:lang w:val="en-US" w:eastAsia="zh-CN"/>
        </w:rPr>
        <w:t>的</w:t>
      </w:r>
      <w:r>
        <w:rPr>
          <w:rFonts w:ascii="Times New Roman" w:hAnsi="Times New Roman" w:eastAsia="仿宋_GB2312" w:cs="仿宋_GB2312"/>
          <w:color w:val="auto"/>
          <w:sz w:val="32"/>
          <w:szCs w:val="32"/>
          <w:u w:val="none"/>
        </w:rPr>
        <w:t>实施日期和有效期。</w:t>
      </w:r>
    </w:p>
    <w:p w14:paraId="323E9476">
      <w:pPr>
        <w:pStyle w:val="3"/>
        <w:pageBreakBefore w:val="0"/>
        <w:widowControl/>
        <w:numPr>
          <w:ilvl w:val="0"/>
          <w:numId w:val="0"/>
        </w:numPr>
        <w:kinsoku/>
        <w:wordWrap/>
        <w:overflowPunct/>
        <w:topLinePunct w:val="0"/>
        <w:autoSpaceDE/>
        <w:autoSpaceDN/>
        <w:bidi w:val="0"/>
        <w:adjustRightInd/>
        <w:snapToGrid/>
        <w:spacing w:line="580" w:lineRule="exact"/>
        <w:ind w:left="0" w:leftChars="0" w:firstLine="640"/>
        <w:textAlignment w:val="auto"/>
        <w:rPr>
          <w:b w:val="0"/>
          <w:color w:val="auto"/>
          <w:u w:val="none"/>
        </w:rPr>
      </w:pPr>
      <w:bookmarkStart w:id="13" w:name="heading_14"/>
      <w:r>
        <w:rPr>
          <w:rFonts w:hint="eastAsia"/>
          <w:color w:val="auto"/>
          <w:u w:val="none"/>
          <w:lang w:eastAsia="zh-CN"/>
        </w:rPr>
        <w:t>五、</w:t>
      </w:r>
      <w:r>
        <w:rPr>
          <w:color w:val="auto"/>
          <w:u w:val="none"/>
        </w:rPr>
        <w:t>需要说明的重点问题</w:t>
      </w:r>
      <w:bookmarkEnd w:id="13"/>
    </w:p>
    <w:p w14:paraId="2166A044">
      <w:pPr>
        <w:pStyle w:val="4"/>
        <w:pageBreakBefore w:val="0"/>
        <w:widowControl/>
        <w:numPr>
          <w:ilvl w:val="0"/>
          <w:numId w:val="0"/>
        </w:numPr>
        <w:kinsoku/>
        <w:wordWrap/>
        <w:overflowPunct/>
        <w:topLinePunct w:val="0"/>
        <w:autoSpaceDE/>
        <w:autoSpaceDN/>
        <w:bidi w:val="0"/>
        <w:adjustRightInd/>
        <w:snapToGrid/>
        <w:spacing w:line="580" w:lineRule="exact"/>
        <w:ind w:left="0" w:leftChars="0" w:firstLine="640"/>
        <w:textAlignment w:val="auto"/>
        <w:rPr>
          <w:rFonts w:hint="eastAsia" w:ascii="楷体_GB2312" w:hAnsi="楷体_GB2312" w:eastAsia="楷体_GB2312" w:cs="楷体_GB2312"/>
          <w:b w:val="0"/>
          <w:color w:val="auto"/>
          <w:u w:val="none"/>
        </w:rPr>
      </w:pPr>
      <w:bookmarkStart w:id="14" w:name="heading_15"/>
      <w:r>
        <w:rPr>
          <w:rFonts w:hint="eastAsia"/>
          <w:color w:val="auto"/>
          <w:u w:val="none"/>
          <w:lang w:eastAsia="zh-CN"/>
        </w:rPr>
        <w:t>（一）</w:t>
      </w:r>
      <w:r>
        <w:rPr>
          <w:color w:val="auto"/>
          <w:u w:val="none"/>
        </w:rPr>
        <w:t>关于参保范围和筹资标准</w:t>
      </w:r>
      <w:bookmarkEnd w:id="14"/>
    </w:p>
    <w:p w14:paraId="36199ADC">
      <w:pPr>
        <w:pStyle w:val="2"/>
        <w:pageBreakBefore w:val="0"/>
        <w:widowControl/>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《实施细则》将各类就业人员和未就业</w:t>
      </w:r>
      <w:r>
        <w:rPr>
          <w:rFonts w:hint="eastAsia" w:ascii="仿宋_GB2312" w:hAnsi="仿宋_GB2312" w:eastAsia="仿宋_GB2312" w:cs="仿宋_GB2312"/>
          <w:color w:val="auto"/>
          <w:sz w:val="32"/>
          <w:szCs w:val="32"/>
          <w:u w:val="none"/>
          <w:lang w:val="en-US" w:eastAsia="zh-CN"/>
        </w:rPr>
        <w:t>人员</w:t>
      </w:r>
      <w:r>
        <w:rPr>
          <w:rFonts w:hint="eastAsia" w:ascii="仿宋_GB2312" w:hAnsi="仿宋_GB2312" w:eastAsia="仿宋_GB2312" w:cs="仿宋_GB2312"/>
          <w:color w:val="auto"/>
          <w:sz w:val="32"/>
          <w:szCs w:val="32"/>
          <w:u w:val="none"/>
        </w:rPr>
        <w:t>全部纳入参保范围，实现参保全覆盖。筹资标准严格遵循省级基准要求，结合</w:t>
      </w:r>
      <w:r>
        <w:rPr>
          <w:rFonts w:hint="eastAsia" w:ascii="仿宋_GB2312" w:hAnsi="仿宋_GB2312" w:eastAsia="仿宋_GB2312" w:cs="仿宋_GB2312"/>
          <w:color w:val="auto"/>
          <w:sz w:val="32"/>
          <w:szCs w:val="32"/>
          <w:u w:val="none"/>
          <w:lang w:val="en-US" w:eastAsia="zh-CN"/>
        </w:rPr>
        <w:t>吕梁</w:t>
      </w:r>
      <w:r>
        <w:rPr>
          <w:rFonts w:hint="eastAsia" w:ascii="仿宋_GB2312" w:hAnsi="仿宋_GB2312" w:eastAsia="仿宋_GB2312" w:cs="仿宋_GB2312"/>
          <w:color w:val="auto"/>
          <w:sz w:val="32"/>
          <w:szCs w:val="32"/>
          <w:u w:val="none"/>
        </w:rPr>
        <w:t>市经济社会发展水平和基金支撑能力，细化了不同群体的费率分担方式，其中未就业人员费率</w:t>
      </w:r>
      <w:r>
        <w:rPr>
          <w:rFonts w:hint="eastAsia" w:ascii="仿宋_GB2312" w:hAnsi="仿宋_GB2312" w:eastAsia="仿宋_GB2312" w:cs="仿宋_GB2312"/>
          <w:color w:val="auto"/>
          <w:sz w:val="32"/>
          <w:szCs w:val="32"/>
          <w:u w:val="none"/>
          <w:lang w:val="en-US" w:eastAsia="zh-CN"/>
        </w:rPr>
        <w:t>在</w:t>
      </w:r>
      <w:r>
        <w:rPr>
          <w:rFonts w:hint="eastAsia" w:ascii="仿宋_GB2312" w:hAnsi="仿宋_GB2312" w:eastAsia="仿宋_GB2312" w:cs="仿宋_GB2312"/>
          <w:color w:val="auto"/>
          <w:sz w:val="32"/>
          <w:szCs w:val="32"/>
          <w:u w:val="none"/>
        </w:rPr>
        <w:t>5年</w:t>
      </w:r>
      <w:r>
        <w:rPr>
          <w:rFonts w:hint="eastAsia" w:ascii="仿宋_GB2312" w:hAnsi="仿宋_GB2312" w:eastAsia="仿宋_GB2312" w:cs="仿宋_GB2312"/>
          <w:color w:val="auto"/>
          <w:sz w:val="32"/>
          <w:szCs w:val="32"/>
          <w:u w:val="none"/>
          <w:lang w:val="en-US" w:eastAsia="zh-CN"/>
        </w:rPr>
        <w:t>时间内从0.15%</w:t>
      </w:r>
      <w:r>
        <w:rPr>
          <w:rFonts w:hint="eastAsia" w:ascii="仿宋_GB2312" w:hAnsi="仿宋_GB2312" w:eastAsia="仿宋_GB2312" w:cs="仿宋_GB2312"/>
          <w:color w:val="auto"/>
          <w:sz w:val="32"/>
          <w:szCs w:val="32"/>
          <w:u w:val="none"/>
        </w:rPr>
        <w:t>过渡至0.3％，既保障了制度起步阶段的可操作性，也确保了基金中长期可持续。同时，对困难人群实行分类资助，体现了政策的公平性和兜底性。</w:t>
      </w:r>
    </w:p>
    <w:p w14:paraId="7D920DCE">
      <w:pPr>
        <w:pStyle w:val="4"/>
        <w:pageBreakBefore w:val="0"/>
        <w:widowControl/>
        <w:numPr>
          <w:ilvl w:val="0"/>
          <w:numId w:val="0"/>
        </w:numPr>
        <w:kinsoku/>
        <w:wordWrap/>
        <w:overflowPunct/>
        <w:topLinePunct w:val="0"/>
        <w:autoSpaceDE/>
        <w:autoSpaceDN/>
        <w:bidi w:val="0"/>
        <w:adjustRightInd/>
        <w:snapToGrid/>
        <w:spacing w:line="580" w:lineRule="exact"/>
        <w:ind w:left="0" w:leftChars="0" w:firstLine="640"/>
        <w:textAlignment w:val="auto"/>
        <w:rPr>
          <w:rFonts w:hint="eastAsia" w:ascii="楷体_GB2312" w:hAnsi="楷体_GB2312" w:eastAsia="楷体_GB2312" w:cs="楷体_GB2312"/>
          <w:b w:val="0"/>
          <w:color w:val="auto"/>
          <w:u w:val="none"/>
        </w:rPr>
      </w:pPr>
      <w:bookmarkStart w:id="15" w:name="heading_17"/>
      <w:r>
        <w:rPr>
          <w:rFonts w:hint="eastAsia"/>
          <w:color w:val="auto"/>
          <w:u w:val="none"/>
          <w:lang w:eastAsia="zh-CN"/>
        </w:rPr>
        <w:t>（</w:t>
      </w:r>
      <w:r>
        <w:rPr>
          <w:rFonts w:hint="eastAsia"/>
          <w:color w:val="auto"/>
          <w:u w:val="none"/>
          <w:lang w:val="en-US" w:eastAsia="zh-CN"/>
        </w:rPr>
        <w:t>二</w:t>
      </w:r>
      <w:r>
        <w:rPr>
          <w:rFonts w:hint="eastAsia"/>
          <w:color w:val="auto"/>
          <w:u w:val="none"/>
          <w:lang w:eastAsia="zh-CN"/>
        </w:rPr>
        <w:t>）</w:t>
      </w:r>
      <w:r>
        <w:rPr>
          <w:color w:val="auto"/>
          <w:u w:val="none"/>
        </w:rPr>
        <w:t>关于护理服务和待遇保障</w:t>
      </w:r>
      <w:bookmarkEnd w:id="15"/>
    </w:p>
    <w:p w14:paraId="00F0FDD3">
      <w:pPr>
        <w:pStyle w:val="2"/>
        <w:pageBreakBefore w:val="0"/>
        <w:widowControl/>
        <w:kinsoku/>
        <w:wordWrap/>
        <w:overflowPunct/>
        <w:topLinePunct w:val="0"/>
        <w:autoSpaceDE/>
        <w:autoSpaceDN/>
        <w:bidi w:val="0"/>
        <w:adjustRightInd/>
        <w:snapToGrid/>
        <w:spacing w:line="580" w:lineRule="exact"/>
        <w:textAlignment w:val="auto"/>
        <w:rPr>
          <w:rFonts w:hint="eastAsia" w:ascii="仿宋_GB2312" w:hAnsi="宋体" w:cs="仿宋_GB2312"/>
          <w:i w:val="0"/>
          <w:caps w:val="0"/>
          <w:color w:val="000000"/>
          <w:spacing w:val="0"/>
          <w:sz w:val="32"/>
          <w:szCs w:val="32"/>
          <w:shd w:val="clear" w:fill="FFFFFF"/>
          <w:lang w:val="en-US" w:eastAsia="zh-CN"/>
        </w:rPr>
      </w:pPr>
      <w:r>
        <w:rPr>
          <w:rFonts w:ascii="仿宋_GB2312" w:hAnsi="宋体" w:eastAsia="仿宋_GB2312" w:cs="仿宋_GB2312"/>
          <w:i w:val="0"/>
          <w:caps w:val="0"/>
          <w:color w:val="000000"/>
          <w:spacing w:val="0"/>
          <w:sz w:val="32"/>
          <w:szCs w:val="32"/>
          <w:shd w:val="clear" w:fill="FFFFFF"/>
        </w:rPr>
        <w:t>按照国家、省政策设立居家护理、社区护理、机构护理三种</w:t>
      </w:r>
      <w:r>
        <w:rPr>
          <w:rFonts w:hint="eastAsia" w:ascii="仿宋_GB2312" w:hAnsi="宋体" w:eastAsia="仿宋_GB2312" w:cs="仿宋_GB2312"/>
          <w:i w:val="0"/>
          <w:caps w:val="0"/>
          <w:color w:val="000000"/>
          <w:spacing w:val="0"/>
          <w:sz w:val="32"/>
          <w:szCs w:val="32"/>
          <w:shd w:val="clear" w:fill="FFFFFF"/>
        </w:rPr>
        <w:t>护理服务类型，结合</w:t>
      </w:r>
      <w:r>
        <w:rPr>
          <w:rFonts w:hint="eastAsia" w:ascii="仿宋_GB2312" w:hAnsi="宋体" w:cs="仿宋_GB2312"/>
          <w:i w:val="0"/>
          <w:caps w:val="0"/>
          <w:color w:val="000000"/>
          <w:spacing w:val="0"/>
          <w:sz w:val="32"/>
          <w:szCs w:val="32"/>
          <w:shd w:val="clear" w:fill="FFFFFF"/>
          <w:lang w:val="en-US" w:eastAsia="zh-CN"/>
        </w:rPr>
        <w:t>吕梁</w:t>
      </w:r>
      <w:r>
        <w:rPr>
          <w:rFonts w:hint="eastAsia" w:ascii="仿宋_GB2312" w:hAnsi="宋体" w:eastAsia="仿宋_GB2312" w:cs="仿宋_GB2312"/>
          <w:i w:val="0"/>
          <w:caps w:val="0"/>
          <w:color w:val="000000"/>
          <w:spacing w:val="0"/>
          <w:sz w:val="32"/>
          <w:szCs w:val="32"/>
          <w:shd w:val="clear" w:fill="FFFFFF"/>
        </w:rPr>
        <w:t>市护理服务资源现状，《实施细则》鼓励选择居家护理模式，基金支付标准分护理服务类型设置最高支付限额，分别是：按单位职工参保政策参保的由基金分别支付75％、70％、65％，年度最高支付限额为16920元；按未就业城乡居民参保政策参保的由基金分别支付55％、50％、45％，年度最高支付限额为12240元。</w:t>
      </w:r>
      <w:r>
        <w:rPr>
          <w:rFonts w:hint="eastAsia" w:ascii="仿宋_GB2312" w:hAnsi="宋体" w:cs="仿宋_GB2312"/>
          <w:i w:val="0"/>
          <w:caps w:val="0"/>
          <w:color w:val="000000"/>
          <w:spacing w:val="0"/>
          <w:sz w:val="32"/>
          <w:szCs w:val="32"/>
          <w:shd w:val="clear" w:fill="FFFFFF"/>
          <w:lang w:val="en-US" w:eastAsia="zh-CN"/>
        </w:rPr>
        <w:t>明确参保人员可选择护理方式。参保人员选择居家护理或社区护理服务的，明确护理服务时长。</w:t>
      </w:r>
      <w:r>
        <w:rPr>
          <w:rFonts w:hint="eastAsia" w:ascii="仿宋_GB2312" w:hAnsi="宋体" w:eastAsia="仿宋_GB2312" w:cs="仿宋_GB2312"/>
          <w:i w:val="0"/>
          <w:caps w:val="0"/>
          <w:color w:val="000000"/>
          <w:spacing w:val="0"/>
          <w:sz w:val="32"/>
          <w:szCs w:val="32"/>
          <w:shd w:val="clear" w:fill="FFFFFF"/>
        </w:rPr>
        <w:t>允许失能人员自主选择并合理变更</w:t>
      </w:r>
      <w:r>
        <w:rPr>
          <w:rFonts w:hint="eastAsia" w:ascii="仿宋_GB2312" w:hAnsi="宋体" w:cs="仿宋_GB2312"/>
          <w:i w:val="0"/>
          <w:caps w:val="0"/>
          <w:color w:val="000000"/>
          <w:spacing w:val="0"/>
          <w:sz w:val="32"/>
          <w:szCs w:val="32"/>
          <w:shd w:val="clear" w:fill="FFFFFF"/>
          <w:lang w:val="en-US" w:eastAsia="zh-CN"/>
        </w:rPr>
        <w:t>服务类型</w:t>
      </w:r>
      <w:r>
        <w:rPr>
          <w:rFonts w:hint="eastAsia" w:ascii="仿宋_GB2312" w:hAnsi="宋体" w:eastAsia="仿宋_GB2312" w:cs="仿宋_GB2312"/>
          <w:i w:val="0"/>
          <w:caps w:val="0"/>
          <w:color w:val="000000"/>
          <w:spacing w:val="0"/>
          <w:sz w:val="32"/>
          <w:szCs w:val="32"/>
          <w:shd w:val="clear" w:fill="FFFFFF"/>
        </w:rPr>
        <w:t>。分职工和居民设置差异化待遇，既体现了“量能负担、适度保障”的原则，也确保了待遇水平与基金支撑能力相匹配。</w:t>
      </w:r>
      <w:bookmarkStart w:id="16" w:name="heading_18"/>
      <w:r>
        <w:rPr>
          <w:rFonts w:hint="eastAsia" w:ascii="仿宋_GB2312" w:hAnsi="宋体" w:cs="仿宋_GB2312"/>
          <w:i w:val="0"/>
          <w:caps w:val="0"/>
          <w:color w:val="000000"/>
          <w:spacing w:val="0"/>
          <w:sz w:val="32"/>
          <w:szCs w:val="32"/>
          <w:shd w:val="clear" w:fill="FFFFFF"/>
          <w:lang w:val="en-US" w:eastAsia="zh-CN"/>
        </w:rPr>
        <w:t>明确了待遇终止的情形。</w:t>
      </w:r>
    </w:p>
    <w:p w14:paraId="11235B60">
      <w:pPr>
        <w:pStyle w:val="2"/>
        <w:pageBreakBefore w:val="0"/>
        <w:widowControl/>
        <w:kinsoku/>
        <w:wordWrap/>
        <w:overflowPunct/>
        <w:topLinePunct w:val="0"/>
        <w:autoSpaceDE/>
        <w:autoSpaceDN/>
        <w:bidi w:val="0"/>
        <w:adjustRightInd/>
        <w:snapToGrid/>
        <w:spacing w:line="580" w:lineRule="exact"/>
        <w:textAlignment w:val="auto"/>
        <w:rPr>
          <w:rFonts w:hint="eastAsia" w:ascii="楷体_GB2312" w:hAnsi="楷体_GB2312" w:eastAsia="楷体_GB2312" w:cs="楷体_GB2312"/>
          <w:b w:val="0"/>
          <w:color w:val="auto"/>
          <w:u w:val="none"/>
        </w:rPr>
      </w:pPr>
      <w:r>
        <w:rPr>
          <w:rFonts w:hint="eastAsia"/>
          <w:color w:val="auto"/>
          <w:u w:val="none"/>
          <w:lang w:eastAsia="zh-CN"/>
        </w:rPr>
        <w:t>（</w:t>
      </w:r>
      <w:r>
        <w:rPr>
          <w:rFonts w:hint="eastAsia"/>
          <w:color w:val="auto"/>
          <w:u w:val="none"/>
          <w:lang w:val="en-US" w:eastAsia="zh-CN"/>
        </w:rPr>
        <w:t>三</w:t>
      </w:r>
      <w:r>
        <w:rPr>
          <w:rFonts w:hint="eastAsia"/>
          <w:color w:val="auto"/>
          <w:u w:val="none"/>
          <w:lang w:eastAsia="zh-CN"/>
        </w:rPr>
        <w:t>）</w:t>
      </w:r>
      <w:r>
        <w:rPr>
          <w:color w:val="auto"/>
          <w:u w:val="none"/>
        </w:rPr>
        <w:t>关于部门协同和经办服务</w:t>
      </w:r>
      <w:bookmarkEnd w:id="16"/>
    </w:p>
    <w:p w14:paraId="7D7F10B4">
      <w:pPr>
        <w:pStyle w:val="2"/>
        <w:pageBreakBefore w:val="0"/>
        <w:widowControl/>
        <w:kinsoku/>
        <w:wordWrap/>
        <w:overflowPunct/>
        <w:topLinePunct w:val="0"/>
        <w:autoSpaceDE/>
        <w:autoSpaceDN/>
        <w:bidi w:val="0"/>
        <w:adjustRightInd/>
        <w:snapToGrid/>
        <w:spacing w:line="580" w:lineRule="exact"/>
        <w:textAlignment w:val="auto"/>
        <w:rPr>
          <w:rFonts w:ascii="Times New Roman" w:hAnsi="Times New Roman" w:eastAsia="仿宋_GB2312" w:cs="仿宋_GB2312"/>
          <w:color w:val="auto"/>
          <w:sz w:val="32"/>
          <w:szCs w:val="32"/>
          <w:u w:val="none"/>
        </w:rPr>
      </w:pPr>
      <w:r>
        <w:rPr>
          <w:rFonts w:ascii="Times New Roman" w:hAnsi="Times New Roman" w:eastAsia="仿宋_GB2312" w:cs="仿宋_GB2312"/>
          <w:color w:val="auto"/>
          <w:sz w:val="32"/>
          <w:szCs w:val="32"/>
          <w:u w:val="none"/>
        </w:rPr>
        <w:t>长护险制度实施涉及多个部门，《实施细则》明确了医保、</w:t>
      </w:r>
      <w:r>
        <w:rPr>
          <w:rFonts w:hint="eastAsia" w:cs="仿宋_GB2312"/>
          <w:color w:val="auto"/>
          <w:sz w:val="32"/>
          <w:szCs w:val="32"/>
          <w:u w:val="none"/>
          <w:lang w:val="en-US" w:eastAsia="zh-CN"/>
        </w:rPr>
        <w:t>税务、</w:t>
      </w:r>
      <w:r>
        <w:rPr>
          <w:rFonts w:ascii="Times New Roman" w:hAnsi="Times New Roman" w:eastAsia="仿宋_GB2312" w:cs="仿宋_GB2312"/>
          <w:color w:val="auto"/>
          <w:sz w:val="32"/>
          <w:szCs w:val="32"/>
          <w:u w:val="none"/>
        </w:rPr>
        <w:t>财政、民政、</w:t>
      </w:r>
      <w:r>
        <w:rPr>
          <w:rFonts w:hint="eastAsia" w:cs="仿宋_GB2312"/>
          <w:color w:val="auto"/>
          <w:sz w:val="32"/>
          <w:szCs w:val="32"/>
          <w:u w:val="none"/>
          <w:lang w:val="en-US" w:eastAsia="zh-CN"/>
        </w:rPr>
        <w:t>人社、卫健、残联、农业农村</w:t>
      </w:r>
      <w:r>
        <w:rPr>
          <w:rFonts w:ascii="Times New Roman" w:hAnsi="Times New Roman" w:eastAsia="仿宋_GB2312" w:cs="仿宋_GB2312"/>
          <w:color w:val="auto"/>
          <w:sz w:val="32"/>
          <w:szCs w:val="32"/>
          <w:u w:val="none"/>
        </w:rPr>
        <w:t>等相关部门的职责，建立协同推进机制，确保各项工作有序衔接。引入第三方机构参与经办服务，优化经办流程，加强定点机构管理和服务质量监督，推进信息化建设和数据共享，旨在提升经办服务效率和服务质量。</w:t>
      </w:r>
    </w:p>
    <w:p w14:paraId="3E887C31">
      <w:pPr>
        <w:pStyle w:val="4"/>
        <w:pageBreakBefore w:val="0"/>
        <w:widowControl/>
        <w:numPr>
          <w:ilvl w:val="0"/>
          <w:numId w:val="0"/>
        </w:numPr>
        <w:kinsoku/>
        <w:wordWrap/>
        <w:overflowPunct/>
        <w:topLinePunct w:val="0"/>
        <w:autoSpaceDE/>
        <w:autoSpaceDN/>
        <w:bidi w:val="0"/>
        <w:adjustRightInd/>
        <w:snapToGrid/>
        <w:spacing w:line="580" w:lineRule="exact"/>
        <w:ind w:left="0" w:leftChars="0" w:firstLine="640"/>
        <w:textAlignment w:val="auto"/>
        <w:rPr>
          <w:rFonts w:hint="eastAsia" w:ascii="楷体_GB2312" w:hAnsi="楷体_GB2312" w:eastAsia="楷体_GB2312" w:cs="楷体_GB2312"/>
          <w:b w:val="0"/>
          <w:color w:val="auto"/>
          <w:u w:val="none"/>
          <w:lang w:val="en-US"/>
        </w:rPr>
      </w:pPr>
      <w:bookmarkStart w:id="17" w:name="heading_19"/>
      <w:r>
        <w:rPr>
          <w:rFonts w:hint="eastAsia"/>
          <w:color w:val="auto"/>
          <w:u w:val="none"/>
          <w:lang w:eastAsia="zh-CN"/>
        </w:rPr>
        <w:t>（</w:t>
      </w:r>
      <w:r>
        <w:rPr>
          <w:rFonts w:hint="eastAsia"/>
          <w:color w:val="auto"/>
          <w:u w:val="none"/>
          <w:lang w:val="en-US" w:eastAsia="zh-CN"/>
        </w:rPr>
        <w:t>四</w:t>
      </w:r>
      <w:r>
        <w:rPr>
          <w:rFonts w:hint="eastAsia"/>
          <w:color w:val="auto"/>
          <w:u w:val="none"/>
          <w:lang w:eastAsia="zh-CN"/>
        </w:rPr>
        <w:t>）</w:t>
      </w:r>
      <w:r>
        <w:rPr>
          <w:color w:val="auto"/>
          <w:u w:val="none"/>
        </w:rPr>
        <w:t>关于</w:t>
      </w:r>
      <w:bookmarkEnd w:id="17"/>
      <w:r>
        <w:rPr>
          <w:rFonts w:hint="eastAsia"/>
          <w:color w:val="auto"/>
          <w:u w:val="none"/>
          <w:lang w:val="en-US" w:eastAsia="zh-CN"/>
        </w:rPr>
        <w:t>监督考核与管理</w:t>
      </w:r>
    </w:p>
    <w:p w14:paraId="47BD910D">
      <w:pPr>
        <w:pStyle w:val="2"/>
        <w:pageBreakBefore w:val="0"/>
        <w:widowControl/>
        <w:kinsoku/>
        <w:wordWrap/>
        <w:overflowPunct/>
        <w:topLinePunct w:val="0"/>
        <w:autoSpaceDE/>
        <w:autoSpaceDN/>
        <w:bidi w:val="0"/>
        <w:adjustRightInd/>
        <w:snapToGrid/>
        <w:spacing w:line="580" w:lineRule="exact"/>
        <w:textAlignment w:val="auto"/>
        <w:rPr>
          <w:color w:val="auto"/>
          <w:u w:val="none"/>
        </w:rPr>
      </w:pPr>
      <w:r>
        <w:rPr>
          <w:rFonts w:ascii="Times New Roman" w:hAnsi="Times New Roman" w:eastAsia="仿宋_GB2312" w:cs="仿宋_GB2312"/>
          <w:color w:val="auto"/>
          <w:sz w:val="32"/>
          <w:szCs w:val="32"/>
          <w:u w:val="none"/>
        </w:rPr>
        <w:t>为保障长护险基金安全，《实施细则》建立了全方位、多层次的</w:t>
      </w:r>
      <w:r>
        <w:rPr>
          <w:rFonts w:hint="eastAsia" w:cs="仿宋_GB2312"/>
          <w:color w:val="auto"/>
          <w:sz w:val="32"/>
          <w:szCs w:val="32"/>
          <w:u w:val="none"/>
          <w:lang w:val="en-US" w:eastAsia="zh-CN"/>
        </w:rPr>
        <w:t>考核监督管理</w:t>
      </w:r>
      <w:r>
        <w:rPr>
          <w:rFonts w:ascii="Times New Roman" w:hAnsi="Times New Roman" w:eastAsia="仿宋_GB2312" w:cs="仿宋_GB2312"/>
          <w:color w:val="auto"/>
          <w:sz w:val="32"/>
          <w:szCs w:val="32"/>
          <w:u w:val="none"/>
        </w:rPr>
        <w:t>体系，</w:t>
      </w:r>
      <w:r>
        <w:rPr>
          <w:rFonts w:hint="eastAsia" w:cs="仿宋_GB2312"/>
          <w:color w:val="auto"/>
          <w:sz w:val="32"/>
          <w:szCs w:val="32"/>
          <w:u w:val="none"/>
          <w:lang w:val="en-US" w:eastAsia="zh-CN"/>
        </w:rPr>
        <w:t>规定经办机构每年对定点评估机构、定点长期护理服务机构和第三方机构进行考核，考核结果依照协议处理。定点评估机构、定点长期护理服务机构和第三方机构对医保经办机构考核处理有争议的可以向医保行政部门提起申诉，也可依法提起行政复议或行政诉讼，有效维护了各方合法权益。</w:t>
      </w:r>
    </w:p>
    <w:p w14:paraId="76C7961A">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color w:val="auto"/>
          <w:sz w:val="32"/>
          <w:szCs w:val="32"/>
          <w:highlight w:val="none"/>
          <w:lang w:val="en-US" w:eastAsia="zh-CN"/>
        </w:rPr>
      </w:pPr>
    </w:p>
    <w:p w14:paraId="60631052">
      <w:pPr>
        <w:pStyle w:val="2"/>
        <w:rPr>
          <w:rFonts w:hint="eastAsia" w:ascii="仿宋" w:hAnsi="仿宋" w:eastAsia="仿宋" w:cs="仿宋"/>
          <w:color w:val="auto"/>
          <w:sz w:val="32"/>
          <w:szCs w:val="32"/>
          <w:highlight w:val="none"/>
          <w:lang w:val="en-US" w:eastAsia="zh-CN"/>
        </w:rPr>
      </w:pPr>
    </w:p>
    <w:p w14:paraId="2DE998A5">
      <w:pPr>
        <w:pStyle w:val="2"/>
        <w:rPr>
          <w:rFonts w:hint="eastAsia" w:ascii="仿宋" w:hAnsi="仿宋" w:eastAsia="仿宋" w:cs="仿宋"/>
          <w:color w:val="auto"/>
          <w:sz w:val="32"/>
          <w:szCs w:val="32"/>
          <w:highlight w:val="none"/>
          <w:lang w:val="en-US" w:eastAsia="zh-CN"/>
        </w:rPr>
      </w:pPr>
    </w:p>
    <w:p w14:paraId="03D2813A"/>
    <w:sectPr>
      <w:pgSz w:w="11906" w:h="16838"/>
      <w:pgMar w:top="1440" w:right="1474" w:bottom="1440"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panose1 w:val="02000000000000000000"/>
    <w:charset w:val="86"/>
    <w:family w:val="auto"/>
    <w:pitch w:val="default"/>
    <w:sig w:usb0="00000001" w:usb1="08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EF1898"/>
    <w:rsid w:val="000920BE"/>
    <w:rsid w:val="003B0B6B"/>
    <w:rsid w:val="019D00BB"/>
    <w:rsid w:val="022C6982"/>
    <w:rsid w:val="06B86A37"/>
    <w:rsid w:val="08114650"/>
    <w:rsid w:val="0AD57BB7"/>
    <w:rsid w:val="0CE42333"/>
    <w:rsid w:val="13E7080A"/>
    <w:rsid w:val="13EA5F9B"/>
    <w:rsid w:val="14FB646C"/>
    <w:rsid w:val="15121A08"/>
    <w:rsid w:val="15B4486D"/>
    <w:rsid w:val="17C429FF"/>
    <w:rsid w:val="18C354F3"/>
    <w:rsid w:val="193F4870"/>
    <w:rsid w:val="1BCC4D75"/>
    <w:rsid w:val="1C6957F1"/>
    <w:rsid w:val="1D5464EC"/>
    <w:rsid w:val="1D7768AC"/>
    <w:rsid w:val="23AD1279"/>
    <w:rsid w:val="255C7E91"/>
    <w:rsid w:val="27AE2EE4"/>
    <w:rsid w:val="27AF59B8"/>
    <w:rsid w:val="27D46E71"/>
    <w:rsid w:val="2A73664D"/>
    <w:rsid w:val="2C1A244C"/>
    <w:rsid w:val="2CD535EF"/>
    <w:rsid w:val="2DC25921"/>
    <w:rsid w:val="2DEF1898"/>
    <w:rsid w:val="2E7330BF"/>
    <w:rsid w:val="307A7570"/>
    <w:rsid w:val="30F46739"/>
    <w:rsid w:val="335E5D2E"/>
    <w:rsid w:val="35284C04"/>
    <w:rsid w:val="35325BED"/>
    <w:rsid w:val="357A4D33"/>
    <w:rsid w:val="36455486"/>
    <w:rsid w:val="37793C0D"/>
    <w:rsid w:val="388F0D94"/>
    <w:rsid w:val="38E47094"/>
    <w:rsid w:val="3A683CF4"/>
    <w:rsid w:val="3AB91A90"/>
    <w:rsid w:val="3C9E57AB"/>
    <w:rsid w:val="3D600CB3"/>
    <w:rsid w:val="40E02B85"/>
    <w:rsid w:val="42530DE6"/>
    <w:rsid w:val="436C50A8"/>
    <w:rsid w:val="472D7E58"/>
    <w:rsid w:val="4869117C"/>
    <w:rsid w:val="48855A71"/>
    <w:rsid w:val="4C736523"/>
    <w:rsid w:val="4F602D94"/>
    <w:rsid w:val="5075461D"/>
    <w:rsid w:val="50C667F7"/>
    <w:rsid w:val="51183927"/>
    <w:rsid w:val="53EC2E48"/>
    <w:rsid w:val="54AB5D81"/>
    <w:rsid w:val="560B3A5A"/>
    <w:rsid w:val="58694A68"/>
    <w:rsid w:val="58B13058"/>
    <w:rsid w:val="58BD4DB3"/>
    <w:rsid w:val="591B0458"/>
    <w:rsid w:val="59422C0E"/>
    <w:rsid w:val="5A132EDD"/>
    <w:rsid w:val="5F3D09FC"/>
    <w:rsid w:val="60BB7E2A"/>
    <w:rsid w:val="65257F68"/>
    <w:rsid w:val="6D090170"/>
    <w:rsid w:val="6D800432"/>
    <w:rsid w:val="6E7502F2"/>
    <w:rsid w:val="6FD74555"/>
    <w:rsid w:val="6FEE2FAD"/>
    <w:rsid w:val="6FFD220E"/>
    <w:rsid w:val="72273572"/>
    <w:rsid w:val="733F48EB"/>
    <w:rsid w:val="74B94866"/>
    <w:rsid w:val="75616D9B"/>
    <w:rsid w:val="7A401675"/>
    <w:rsid w:val="7AA31C03"/>
    <w:rsid w:val="7AEF4E49"/>
    <w:rsid w:val="7B485069"/>
    <w:rsid w:val="7B6C64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next w:val="1"/>
    <w:qFormat/>
    <w:uiPriority w:val="0"/>
    <w:pPr>
      <w:keepNext/>
      <w:keepLines/>
      <w:spacing w:beforeLines="0" w:beforeAutospacing="0" w:afterLines="0" w:afterAutospacing="0" w:line="560" w:lineRule="exact"/>
      <w:ind w:firstLine="894" w:firstLineChars="200"/>
      <w:outlineLvl w:val="0"/>
    </w:pPr>
    <w:rPr>
      <w:rFonts w:ascii="黑体" w:hAnsi="黑体" w:eastAsia="黑体" w:cs="黑体"/>
      <w:kern w:val="44"/>
      <w:sz w:val="32"/>
      <w:szCs w:val="32"/>
    </w:rPr>
  </w:style>
  <w:style w:type="paragraph" w:styleId="4">
    <w:name w:val="heading 2"/>
    <w:next w:val="1"/>
    <w:link w:val="10"/>
    <w:unhideWhenUsed/>
    <w:qFormat/>
    <w:uiPriority w:val="0"/>
    <w:pPr>
      <w:keepNext/>
      <w:keepLines/>
      <w:spacing w:beforeLines="0" w:beforeAutospacing="0" w:afterLines="0" w:afterAutospacing="0" w:line="560" w:lineRule="exact"/>
      <w:ind w:firstLine="894" w:firstLineChars="200"/>
      <w:outlineLvl w:val="1"/>
    </w:pPr>
    <w:rPr>
      <w:rFonts w:ascii="Times New Roman" w:hAnsi="Times New Roman" w:eastAsia="楷体_GB2312" w:cs="楷体_GB2312"/>
      <w:sz w:val="32"/>
      <w:szCs w:val="32"/>
    </w:rPr>
  </w:style>
  <w:style w:type="paragraph" w:styleId="5">
    <w:name w:val="heading 3"/>
    <w:next w:val="1"/>
    <w:link w:val="11"/>
    <w:unhideWhenUsed/>
    <w:qFormat/>
    <w:uiPriority w:val="0"/>
    <w:pPr>
      <w:keepNext/>
      <w:keepLines/>
      <w:spacing w:beforeLines="0" w:beforeAutospacing="0" w:afterLines="0" w:afterAutospacing="0" w:line="560" w:lineRule="exact"/>
      <w:ind w:firstLine="894" w:firstLineChars="200"/>
      <w:outlineLvl w:val="2"/>
    </w:pPr>
    <w:rPr>
      <w:rFonts w:ascii="Times New Roman" w:hAnsi="Times New Roman" w:eastAsia="仿宋_GB2312" w:cs="仿宋_GB2312"/>
      <w:sz w:val="32"/>
      <w:szCs w:val="32"/>
    </w:rPr>
  </w:style>
  <w:style w:type="character" w:default="1" w:styleId="9">
    <w:name w:val="Default Paragraph Font"/>
    <w:semiHidden/>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line="560" w:lineRule="exact"/>
      <w:ind w:firstLine="630" w:firstLineChars="200"/>
      <w:jc w:val="both"/>
    </w:pPr>
    <w:rPr>
      <w:rFonts w:ascii="Times New Roman" w:hAnsi="Times New Roman" w:eastAsia="仿宋_GB2312" w:cs="仿宋_GB2312"/>
      <w:spacing w:val="-6"/>
      <w:sz w:val="32"/>
      <w:szCs w:val="32"/>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paragraph" w:styleId="7">
    <w:name w:val="Title"/>
    <w:qFormat/>
    <w:uiPriority w:val="0"/>
    <w:pPr>
      <w:spacing w:line="720" w:lineRule="exact"/>
      <w:jc w:val="center"/>
      <w:outlineLvl w:val="9"/>
    </w:pPr>
    <w:rPr>
      <w:rFonts w:ascii="方正小标宋简体" w:hAnsi="方正小标宋简体" w:eastAsia="方正小标宋简体" w:cs="方正小标宋简体"/>
      <w:sz w:val="44"/>
      <w:szCs w:val="44"/>
    </w:rPr>
  </w:style>
  <w:style w:type="character" w:customStyle="1" w:styleId="10">
    <w:name w:val="标题 2 Char"/>
    <w:link w:val="4"/>
    <w:qFormat/>
    <w:uiPriority w:val="0"/>
    <w:rPr>
      <w:rFonts w:ascii="Times New Roman" w:hAnsi="Times New Roman" w:eastAsia="楷体_GB2312" w:cs="楷体_GB2312"/>
      <w:sz w:val="32"/>
      <w:szCs w:val="32"/>
    </w:rPr>
  </w:style>
  <w:style w:type="character" w:customStyle="1" w:styleId="11">
    <w:name w:val="标题 3 Char"/>
    <w:link w:val="5"/>
    <w:qFormat/>
    <w:uiPriority w:val="0"/>
    <w:rPr>
      <w:rFonts w:ascii="Times New Roman" w:hAnsi="Times New Roman" w:eastAsia="仿宋_GB2312" w:cs="仿宋_GB2312"/>
      <w:sz w:val="32"/>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4668</Words>
  <Characters>4787</Characters>
  <Lines>0</Lines>
  <Paragraphs>0</Paragraphs>
  <TotalTime>23</TotalTime>
  <ScaleCrop>false</ScaleCrop>
  <LinksUpToDate>false</LinksUpToDate>
  <CharactersWithSpaces>4792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2026-07-22T08:41:00Z</dcterms:created>
  <dc:creator>hiii</dc:creator>
  <cp:lastModifiedBy>成</cp:lastModifiedBy>
  <dcterms:modified xsi:type="dcterms:W3CDTF">2026-08-21T01:59:45Z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90EA6144A9D54BABAAEB488E49D21FE0_13</vt:lpwstr>
  </property>
  <property fmtid="{D5CDD505-2E9C-101B-9397-08002B2CF9AE}" pid="4" name="KSOTemplateDocerSaveRecord">
    <vt:lpwstr>eyJoZGlkIjoiNWRhZTY3NGM0ZDg3ODk3NjQ3YjJjNDU4OTVlNDAwZjIiLCJ1c2VySWQiOiIxMTQ5OTg3NTc2In0=</vt:lpwstr>
  </property>
</Properties>
</file>