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90A3D">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1320" w:firstLineChars="300"/>
        <w:jc w:val="both"/>
        <w:textAlignment w:val="auto"/>
        <w:rPr>
          <w:rFonts w:hint="eastAsia" w:ascii="方正小标宋简体" w:hAnsi="方正小标宋简体" w:eastAsia="方正小标宋简体" w:cs="方正小标宋简体"/>
          <w:i w:val="0"/>
          <w:iCs w:val="0"/>
          <w:caps w:val="0"/>
          <w:color w:val="000000" w:themeColor="text1"/>
          <w:spacing w:val="0"/>
          <w:sz w:val="44"/>
          <w:szCs w:val="44"/>
          <w:shd w:val="clear" w:fill="FFFFFF"/>
          <w14:textFill>
            <w14:solidFill>
              <w14:schemeClr w14:val="tx1"/>
            </w14:solidFill>
          </w14:textFill>
        </w:rPr>
      </w:pPr>
      <w:bookmarkStart w:id="0" w:name="_GoBack"/>
      <w:r>
        <w:rPr>
          <w:rFonts w:hint="eastAsia" w:ascii="方正小标宋简体" w:hAnsi="方正小标宋简体" w:eastAsia="方正小标宋简体" w:cs="方正小标宋简体"/>
          <w:i w:val="0"/>
          <w:iCs w:val="0"/>
          <w:caps w:val="0"/>
          <w:color w:val="000000" w:themeColor="text1"/>
          <w:spacing w:val="0"/>
          <w:sz w:val="44"/>
          <w:szCs w:val="44"/>
          <w:shd w:val="clear" w:fill="FFFFFF"/>
          <w:lang w:val="en-US" w:eastAsia="zh-CN"/>
          <w14:textFill>
            <w14:solidFill>
              <w14:schemeClr w14:val="tx1"/>
            </w14:solidFill>
          </w14:textFill>
        </w:rPr>
        <w:t>吕梁</w:t>
      </w:r>
      <w:r>
        <w:rPr>
          <w:rFonts w:hint="eastAsia" w:ascii="方正小标宋简体" w:hAnsi="方正小标宋简体" w:eastAsia="方正小标宋简体" w:cs="方正小标宋简体"/>
          <w:i w:val="0"/>
          <w:iCs w:val="0"/>
          <w:caps w:val="0"/>
          <w:color w:val="000000" w:themeColor="text1"/>
          <w:spacing w:val="0"/>
          <w:sz w:val="44"/>
          <w:szCs w:val="44"/>
          <w:shd w:val="clear" w:fill="FFFFFF"/>
          <w14:textFill>
            <w14:solidFill>
              <w14:schemeClr w14:val="tx1"/>
            </w14:solidFill>
          </w14:textFill>
        </w:rPr>
        <w:t>市长期护理保险制度实施细则</w:t>
      </w:r>
    </w:p>
    <w:p w14:paraId="62F1ADE0">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right="0" w:firstLine="3240" w:firstLineChars="900"/>
        <w:jc w:val="both"/>
        <w:textAlignment w:val="auto"/>
        <w:rPr>
          <w:rFonts w:hint="eastAsia" w:ascii="楷体_GB2312" w:hAnsi="楷体_GB2312" w:eastAsia="楷体_GB2312" w:cs="楷体_GB2312"/>
          <w:i w:val="0"/>
          <w:iCs w:val="0"/>
          <w:caps w:val="0"/>
          <w:color w:val="000000" w:themeColor="text1"/>
          <w:spacing w:val="0"/>
          <w:sz w:val="36"/>
          <w:szCs w:val="36"/>
          <w:lang w:eastAsia="zh-CN"/>
          <w14:textFill>
            <w14:solidFill>
              <w14:schemeClr w14:val="tx1"/>
            </w14:solidFill>
          </w14:textFill>
        </w:rPr>
      </w:pPr>
      <w:r>
        <w:rPr>
          <w:rFonts w:hint="eastAsia" w:ascii="楷体_GB2312" w:hAnsi="楷体_GB2312" w:eastAsia="楷体_GB2312" w:cs="楷体_GB2312"/>
          <w:i w:val="0"/>
          <w:iCs w:val="0"/>
          <w:caps w:val="0"/>
          <w:color w:val="000000" w:themeColor="text1"/>
          <w:spacing w:val="0"/>
          <w:sz w:val="36"/>
          <w:szCs w:val="36"/>
          <w:shd w:val="clear" w:fill="FFFFFF"/>
          <w:lang w:eastAsia="zh-CN"/>
          <w14:textFill>
            <w14:solidFill>
              <w14:schemeClr w14:val="tx1"/>
            </w14:solidFill>
          </w14:textFill>
        </w:rPr>
        <w:t>（</w:t>
      </w:r>
      <w:r>
        <w:rPr>
          <w:rFonts w:hint="eastAsia" w:ascii="楷体_GB2312" w:hAnsi="楷体_GB2312" w:eastAsia="楷体_GB2312" w:cs="楷体_GB2312"/>
          <w:i w:val="0"/>
          <w:iCs w:val="0"/>
          <w:caps w:val="0"/>
          <w:color w:val="000000" w:themeColor="text1"/>
          <w:spacing w:val="0"/>
          <w:sz w:val="36"/>
          <w:szCs w:val="36"/>
          <w:shd w:val="clear" w:fill="FFFFFF"/>
          <w:lang w:val="en-US" w:eastAsia="zh-CN"/>
          <w14:textFill>
            <w14:solidFill>
              <w14:schemeClr w14:val="tx1"/>
            </w14:solidFill>
          </w14:textFill>
        </w:rPr>
        <w:t>征求意见稿</w:t>
      </w:r>
      <w:r>
        <w:rPr>
          <w:rFonts w:hint="eastAsia" w:ascii="楷体_GB2312" w:hAnsi="楷体_GB2312" w:eastAsia="楷体_GB2312" w:cs="楷体_GB2312"/>
          <w:i w:val="0"/>
          <w:iCs w:val="0"/>
          <w:caps w:val="0"/>
          <w:color w:val="000000" w:themeColor="text1"/>
          <w:spacing w:val="0"/>
          <w:sz w:val="36"/>
          <w:szCs w:val="36"/>
          <w:shd w:val="clear" w:fill="FFFFFF"/>
          <w:lang w:eastAsia="zh-CN"/>
          <w14:textFill>
            <w14:solidFill>
              <w14:schemeClr w14:val="tx1"/>
            </w14:solidFill>
          </w14:textFill>
        </w:rPr>
        <w:t>）</w:t>
      </w:r>
    </w:p>
    <w:bookmarkEnd w:id="0"/>
    <w:p w14:paraId="710D8669">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宋体" w:hAnsi="宋体" w:eastAsia="宋体" w:cs="宋体"/>
          <w:i w:val="0"/>
          <w:iCs w:val="0"/>
          <w:caps w:val="0"/>
          <w:color w:val="000000" w:themeColor="text1"/>
          <w:spacing w:val="0"/>
          <w:sz w:val="36"/>
          <w:szCs w:val="36"/>
          <w:shd w:val="clear" w:fill="FFFFFF"/>
          <w14:textFill>
            <w14:solidFill>
              <w14:schemeClr w14:val="tx1"/>
            </w14:solidFill>
          </w14:textFill>
        </w:rPr>
      </w:pPr>
      <w:r>
        <w:rPr>
          <w:rFonts w:hint="eastAsia" w:ascii="宋体" w:hAnsi="宋体" w:eastAsia="宋体" w:cs="宋体"/>
          <w:i w:val="0"/>
          <w:iCs w:val="0"/>
          <w:caps w:val="0"/>
          <w:color w:val="000000" w:themeColor="text1"/>
          <w:spacing w:val="0"/>
          <w:sz w:val="36"/>
          <w:szCs w:val="36"/>
          <w:shd w:val="clear" w:fill="FFFFFF"/>
          <w14:textFill>
            <w14:solidFill>
              <w14:schemeClr w14:val="tx1"/>
            </w14:solidFill>
          </w14:textFill>
        </w:rPr>
        <w:t>　　</w:t>
      </w:r>
    </w:p>
    <w:p w14:paraId="3541E949">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3520" w:firstLineChars="1100"/>
        <w:jc w:val="both"/>
        <w:textAlignment w:val="auto"/>
        <w:rPr>
          <w:rFonts w:hint="eastAsia" w:ascii="黑体" w:hAnsi="黑体" w:eastAsia="黑体" w:cs="黑体"/>
          <w:i w:val="0"/>
          <w:iCs w:val="0"/>
          <w:caps w:val="0"/>
          <w:color w:val="000000" w:themeColor="text1"/>
          <w:spacing w:val="0"/>
          <w:sz w:val="32"/>
          <w:szCs w:val="32"/>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第一章  </w:t>
      </w: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总则</w:t>
      </w:r>
    </w:p>
    <w:p w14:paraId="769B27CD">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　</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 xml:space="preserve"> </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第</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一</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条</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【目的依据】</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长期护理保险</w:t>
      </w:r>
      <w:r>
        <w:rPr>
          <w:rFonts w:hint="eastAsia" w:ascii="仿宋_GB2312" w:hAnsi="仿宋_GB2312" w:eastAsia="仿宋_GB2312" w:cs="仿宋_GB2312"/>
          <w:i w:val="0"/>
          <w:iCs w:val="0"/>
          <w:caps w:val="0"/>
          <w:color w:val="000000" w:themeColor="text1"/>
          <w:spacing w:val="0"/>
          <w:sz w:val="32"/>
          <w:szCs w:val="32"/>
          <w:u w:val="none"/>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以下简称长护险</w:t>
      </w:r>
      <w:r>
        <w:rPr>
          <w:rFonts w:hint="eastAsia" w:ascii="仿宋_GB2312" w:hAnsi="仿宋_GB2312" w:eastAsia="仿宋_GB2312" w:cs="仿宋_GB2312"/>
          <w:i w:val="0"/>
          <w:iCs w:val="0"/>
          <w:caps w:val="0"/>
          <w:color w:val="000000" w:themeColor="text1"/>
          <w:spacing w:val="0"/>
          <w:sz w:val="32"/>
          <w:szCs w:val="32"/>
          <w:u w:val="none"/>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制度是为长期失能人员的基本生活照料</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以及与之密切</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相关</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的</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医疗护理提供服务</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或</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资金保障</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的社会保险制度。</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为贯彻落实党中央、国务院关于加快建立长护险制度的决策部署，</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积极应对人口老龄化，</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构建更加</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完善的社会保障体系，</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切实</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解决</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我</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市失能人员</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长期</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护理</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基本</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保障</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需求</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根据</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《中共山西省委办公厅</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 xml:space="preserve"> </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山西省人民政府办公厅</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关</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于印发〈山西省加快建立长期护理保险制度实施方案〉的通知》 (厅字〔2025〕33号)</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等文件精神</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，结合</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我市</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实际，制定本</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实施细则</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　</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　</w:t>
      </w:r>
    </w:p>
    <w:p w14:paraId="2426F0D0">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640"/>
        <w:jc w:val="both"/>
        <w:textAlignment w:val="auto"/>
        <w:rPr>
          <w:rFonts w:hint="eastAsia" w:ascii="仿宋_GB2312" w:hAnsi="仿宋_GB2312" w:eastAsia="仿宋_GB2312" w:cs="仿宋_GB2312"/>
          <w:i w:val="0"/>
          <w:iCs w:val="0"/>
          <w:caps w:val="0"/>
          <w:color w:val="000000" w:themeColor="text1"/>
          <w:spacing w:val="0"/>
          <w:sz w:val="32"/>
          <w:szCs w:val="32"/>
          <w:u w:val="none"/>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第二条</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建制原则</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按照独立建制、公平适度、保障基本、统筹有序的原则，逐步建立覆盖全民、统筹城乡、公平统一、安全规范、可持续的长护险</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制度</w:t>
      </w:r>
      <w:r>
        <w:rPr>
          <w:rFonts w:hint="eastAsia" w:ascii="仿宋_GB2312" w:hAnsi="仿宋_GB2312" w:eastAsia="仿宋_GB2312" w:cs="仿宋_GB2312"/>
          <w:i w:val="0"/>
          <w:iCs w:val="0"/>
          <w:caps w:val="0"/>
          <w:color w:val="000000" w:themeColor="text1"/>
          <w:spacing w:val="0"/>
          <w:sz w:val="32"/>
          <w:szCs w:val="32"/>
          <w:u w:val="none"/>
          <w:lang w:eastAsia="zh-CN"/>
          <w14:textFill>
            <w14:solidFill>
              <w14:schemeClr w14:val="tx1"/>
            </w14:solidFill>
          </w14:textFill>
        </w:rPr>
        <w:t>。</w:t>
      </w:r>
    </w:p>
    <w:p w14:paraId="55D0DA98">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641"/>
        <w:jc w:val="both"/>
        <w:textAlignment w:val="auto"/>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第三条</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推进步骤</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长护险实行</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市级统筹，</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统筹区内</w:t>
      </w:r>
      <w:r>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t>制度政策统一、基金统收统支、管理服务一体</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2027年7月起制度覆盖所有单位职工、退休人</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员和参加职工医疗保险的灵活就业</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人员，2028年底前将未就业城乡居民纳入保障范围。</w:t>
      </w:r>
    </w:p>
    <w:p w14:paraId="4476ED3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黑体" w:hAnsi="黑体" w:eastAsia="黑体" w:cs="黑体"/>
          <w:i w:val="0"/>
          <w:iCs w:val="0"/>
          <w:caps w:val="0"/>
          <w:color w:val="000000" w:themeColor="text1"/>
          <w:spacing w:val="0"/>
          <w:sz w:val="32"/>
          <w:szCs w:val="32"/>
          <w:u w:val="none"/>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　　</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 xml:space="preserve">                </w:t>
      </w:r>
      <w:r>
        <w:rPr>
          <w:rFonts w:hint="eastAsia" w:ascii="黑体" w:hAnsi="黑体" w:eastAsia="黑体" w:cs="黑体"/>
          <w:i w:val="0"/>
          <w:iCs w:val="0"/>
          <w:caps w:val="0"/>
          <w:color w:val="000000" w:themeColor="text1"/>
          <w:spacing w:val="0"/>
          <w:sz w:val="32"/>
          <w:szCs w:val="32"/>
          <w:u w:val="none"/>
          <w:shd w:val="clear" w:fill="FFFFFF"/>
          <w14:textFill>
            <w14:solidFill>
              <w14:schemeClr w14:val="tx1"/>
            </w14:solidFill>
          </w14:textFill>
        </w:rPr>
        <w:t>第二章  </w:t>
      </w:r>
      <w:r>
        <w:rPr>
          <w:rFonts w:hint="eastAsia" w:ascii="黑体" w:hAnsi="黑体" w:eastAsia="黑体" w:cs="黑体"/>
          <w:i w:val="0"/>
          <w:iCs w:val="0"/>
          <w:caps w:val="0"/>
          <w:color w:val="000000" w:themeColor="text1"/>
          <w:spacing w:val="0"/>
          <w:sz w:val="32"/>
          <w:szCs w:val="32"/>
          <w:u w:val="none"/>
          <w:shd w:val="clear" w:fill="FFFFFF"/>
          <w:lang w:val="en-US" w:eastAsia="zh-CN"/>
          <w14:textFill>
            <w14:solidFill>
              <w14:schemeClr w14:val="tx1"/>
            </w14:solidFill>
          </w14:textFill>
        </w:rPr>
        <w:t xml:space="preserve"> </w:t>
      </w:r>
      <w:r>
        <w:rPr>
          <w:rFonts w:hint="eastAsia" w:ascii="黑体" w:hAnsi="黑体" w:eastAsia="黑体" w:cs="黑体"/>
          <w:i w:val="0"/>
          <w:iCs w:val="0"/>
          <w:caps w:val="0"/>
          <w:color w:val="000000" w:themeColor="text1"/>
          <w:spacing w:val="0"/>
          <w:sz w:val="32"/>
          <w:szCs w:val="32"/>
          <w:u w:val="none"/>
          <w:shd w:val="clear" w:fill="FFFFFF"/>
          <w14:textFill>
            <w14:solidFill>
              <w14:schemeClr w14:val="tx1"/>
            </w14:solidFill>
          </w14:textFill>
        </w:rPr>
        <w:t>参保缴费</w:t>
      </w:r>
    </w:p>
    <w:p w14:paraId="5E02A775">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第</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四</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条</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u w:val="none"/>
          <w14:textFill>
            <w14:solidFill>
              <w14:schemeClr w14:val="tx1"/>
            </w14:solidFill>
          </w14:textFill>
        </w:rPr>
        <w:t>参保</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范围</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本</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市</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行政区域</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内</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的</w:t>
      </w:r>
      <w:r>
        <w:rPr>
          <w:rFonts w:hint="eastAsia" w:ascii="仿宋_GB2312" w:hAnsi="仿宋_GB2312" w:eastAsia="仿宋_GB2312" w:cs="仿宋_GB2312"/>
          <w:i w:val="0"/>
          <w:iCs w:val="0"/>
          <w:caps w:val="0"/>
          <w:color w:val="000000" w:themeColor="text1"/>
          <w:spacing w:val="0"/>
          <w:kern w:val="0"/>
          <w:sz w:val="32"/>
          <w:szCs w:val="32"/>
          <w:u w:val="none"/>
          <w:shd w:val="clear" w:fill="FFFFFF"/>
          <w:lang w:val="en-US" w:eastAsia="zh-CN" w:bidi="ar"/>
          <w14:textFill>
            <w14:solidFill>
              <w14:schemeClr w14:val="tx1"/>
            </w14:solidFill>
          </w14:textFill>
        </w:rPr>
        <w:t>机关、事业单位、社会团体、企业、个体经济组织、民办非企业单位等用人单位及其职工、退休人员、灵活就业人员和未就业城乡居民等按照属地管理原则参加长护险。</w:t>
      </w:r>
    </w:p>
    <w:p w14:paraId="54E2BFC9">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第</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五</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条</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资金筹集】</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建立以单位和个人缴费为基础、财政补助、社会捐助、其他资助为补充的多元筹资渠道，缴费费率控制在0.3%左右，按照国家和省有关规定实行动态调整。长护险与基本医疗保险同步缴费，保费由税务</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部门</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统一征收</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w:t>
      </w:r>
    </w:p>
    <w:p w14:paraId="4D052572">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在职职工：</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缴费费率0.3%，由用人单位和职工个人各负担0.15%，</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缴费基数与职工基本医保一致。</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用人单位按月向税务部门申报缴纳，个人</w:t>
      </w: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缴纳部分</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由单位按月代扣代缴</w:t>
      </w:r>
      <w:r>
        <w:rPr>
          <w:rFonts w:hint="eastAsia" w:ascii="仿宋_GB2312" w:hAnsi="仿宋_GB2312" w:eastAsia="仿宋_GB2312" w:cs="仿宋_GB2312"/>
          <w:i w:val="0"/>
          <w:caps w:val="0"/>
          <w:color w:val="000000" w:themeColor="text1"/>
          <w:spacing w:val="0"/>
          <w:sz w:val="32"/>
          <w:szCs w:val="32"/>
          <w:u w:val="none"/>
          <w:shd w:val="clear" w:fill="FFFFFF"/>
          <w:lang w:eastAsia="zh-CN"/>
          <w14:textFill>
            <w14:solidFill>
              <w14:schemeClr w14:val="tx1"/>
            </w14:solidFill>
          </w14:textFill>
        </w:rPr>
        <w:t>。</w:t>
      </w:r>
    </w:p>
    <w:p w14:paraId="0EBE2A7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退休人员：</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缴费费率0.15%，由个人负担，原用人单位不缴费，缴费基数为本人上年度12月份基本养老金（当年退休人员为每月领取的个人基本养老金）。</w:t>
      </w:r>
      <w:r>
        <w:rPr>
          <w:rFonts w:hint="eastAsia" w:ascii="仿宋_GB2312" w:hAnsi="仿宋_GB2312" w:eastAsia="仿宋_GB2312" w:cs="仿宋_GB2312"/>
          <w:i w:val="0"/>
          <w:iCs w:val="0"/>
          <w:caps w:val="0"/>
          <w:color w:val="000000" w:themeColor="text1"/>
          <w:spacing w:val="0"/>
          <w:kern w:val="2"/>
          <w:sz w:val="32"/>
          <w:szCs w:val="32"/>
          <w:u w:val="none"/>
          <w:shd w:val="clear" w:fill="FFFFFF"/>
          <w:lang w:val="en-US" w:eastAsia="zh-CN" w:bidi="ar-SA"/>
          <w14:textFill>
            <w14:solidFill>
              <w14:schemeClr w14:val="tx1"/>
            </w14:solidFill>
          </w14:textFill>
        </w:rPr>
        <w:t>经</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本人同意，费款可由医疗保障经办机构（以下“医保经办机构”）从其医疗保障个人账户中代扣代缴，也可由发放基本养老金的社会保险经办机构代扣代缴。</w:t>
      </w:r>
    </w:p>
    <w:p w14:paraId="2717C7F2">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灵活就业人员：</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参加职工医保的灵活就业人员，按单位职工费率</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0.3%缴费，缴费基数为全省上年度全口径城镇单位就业人员月平均工资的60%，由个人按规定全额缴费。参加居民医保的灵活就业人员，按未就业城乡居民参保政策参保缴费。</w:t>
      </w:r>
    </w:p>
    <w:p w14:paraId="2280C896">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未就业人员：缴费费率从0.15%起步，5年时间内逐步过渡到0.3%。具体为：2028年、2029年0.15%，2030年0.2%，2031年0.25%，2032年及以后年度为0.3%，缴费基数为公布的全省上年度城乡居民人均可支配收入。筹资由个人缴费和政府补助按1:1的比例分担，与城乡居民基本医疗保险同步按年缴纳。</w:t>
      </w:r>
    </w:p>
    <w:p w14:paraId="06F9FF9D">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18周岁以下未就业人员跟随父母或其他法定抚养人等参保，不单独缴费。孤儿、事实无人抚养儿童等中无法跟从参保的，可由所在地县（市、区）民政部门提供人员名单，统一办理参保登记后可视同参保。</w:t>
      </w:r>
    </w:p>
    <w:p w14:paraId="380E1A1B">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第六条【参保资助】医疗救助基金对符合条件的按未就业人员参保的困难人群个人缴费部分予以分类资助，</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全额资助特困人员，按个人缴费标准的80%定额资助低保对象和符合条件的防止返贫致贫对象。</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鼓励有条件的乡镇(街道)、村、社区或其他社会经济组织对未就业人员参保个人缴费部分给予资助。</w:t>
      </w:r>
    </w:p>
    <w:p w14:paraId="12C86895">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第七条【个账共济】职工基本医疗保险个人账户可以用于本人及近亲属(包括配偶、父母、子女、兄弟姐妹、祖父母、外祖父母、孙子女、外孙子女)参加长护险的个人缴费。</w:t>
      </w:r>
    </w:p>
    <w:p w14:paraId="0E8C26E6">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default" w:ascii="黑体" w:hAnsi="黑体" w:eastAsia="黑体" w:cs="黑体"/>
          <w:i w:val="0"/>
          <w:iCs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黑体" w:hAnsi="黑体" w:eastAsia="黑体" w:cs="黑体"/>
          <w:i w:val="0"/>
          <w:iCs w:val="0"/>
          <w:caps w:val="0"/>
          <w:color w:val="000000" w:themeColor="text1"/>
          <w:spacing w:val="0"/>
          <w:sz w:val="32"/>
          <w:szCs w:val="32"/>
          <w:u w:val="none"/>
          <w:shd w:val="clear" w:fill="FFFFFF"/>
          <w:lang w:val="en-US" w:eastAsia="zh-CN"/>
          <w14:textFill>
            <w14:solidFill>
              <w14:schemeClr w14:val="tx1"/>
            </w14:solidFill>
          </w14:textFill>
        </w:rPr>
        <w:t xml:space="preserve">                   第三章  基金管理</w:t>
      </w:r>
    </w:p>
    <w:p w14:paraId="2B936472">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textAlignment w:val="auto"/>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第八条【专户设立】长护险基金纳入社会保障基金财政专户，单独建账、独立核算、专款专用，任何单位和个人不得挤占、挪用，接受审计和社会监督。医保经办机构设立长护险基金支出户，用于办理基金核拨、支付等业务。</w:t>
      </w:r>
    </w:p>
    <w:p w14:paraId="5D51F358">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textAlignment w:val="auto"/>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第九条【基金管理】长护险基金坚持以收定支、收支平衡。严格执行财务制度，规范基金会计核算。建立基金运行监控和风险防控机制，定期对基金收支及使用情况进行统计分析，做好中长期精算分析，确保基金运行安全、规范、可持续。在长护险出现支付困难时，按照规定及时调整筹资和待遇政策。</w:t>
      </w:r>
    </w:p>
    <w:p w14:paraId="5416CA61">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第十条【绩效管理】建立基金预决算管理制度，科学编制收支预算。医保、财政部门按照全面实施预算绩效管理要求，强化长护险基金绩效目标管理，做好绩效监控和绩效评价，并加强结果应用，提高基金使用效益。</w:t>
      </w:r>
    </w:p>
    <w:p w14:paraId="521F9407">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黑体" w:hAnsi="黑体" w:eastAsia="黑体" w:cs="黑体"/>
          <w:i w:val="0"/>
          <w:iCs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黑体" w:hAnsi="黑体" w:eastAsia="黑体" w:cs="黑体"/>
          <w:i w:val="0"/>
          <w:iCs w:val="0"/>
          <w:caps w:val="0"/>
          <w:color w:val="000000" w:themeColor="text1"/>
          <w:spacing w:val="0"/>
          <w:sz w:val="32"/>
          <w:szCs w:val="32"/>
          <w:u w:val="none"/>
          <w:shd w:val="clear" w:fill="FFFFFF"/>
          <w:lang w:val="en-US" w:eastAsia="zh-CN"/>
          <w14:textFill>
            <w14:solidFill>
              <w14:schemeClr w14:val="tx1"/>
            </w14:solidFill>
          </w14:textFill>
        </w:rPr>
        <w:t>第四章  待遇保障</w:t>
      </w:r>
    </w:p>
    <w:p w14:paraId="440911A2">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第</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十一</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条</w:t>
      </w:r>
      <w:r>
        <w:rPr>
          <w:rFonts w:hint="eastAsia" w:ascii="仿宋_GB2312" w:hAnsi="仿宋_GB2312" w:eastAsia="仿宋_GB2312" w:cs="仿宋_GB2312"/>
          <w:i w:val="0"/>
          <w:iCs w:val="0"/>
          <w:caps w:val="0"/>
          <w:color w:val="000000" w:themeColor="text1"/>
          <w:spacing w:val="0"/>
          <w:kern w:val="0"/>
          <w:sz w:val="32"/>
          <w:szCs w:val="32"/>
          <w:u w:val="none"/>
          <w:shd w:val="clear" w:color="auto" w:fill="FFFFFF"/>
          <w:lang w:val="en-US" w:eastAsia="zh-CN" w:bidi="ar"/>
          <w14:textFill>
            <w14:solidFill>
              <w14:schemeClr w14:val="tx1"/>
            </w14:solidFill>
          </w14:textFill>
        </w:rPr>
        <w:t>【保障对象】</w:t>
      </w:r>
      <w:r>
        <w:rPr>
          <w:rFonts w:hint="eastAsia" w:ascii="仿宋_GB2312" w:hAnsi="仿宋_GB2312" w:eastAsia="仿宋_GB2312" w:cs="仿宋_GB2312"/>
          <w:i w:val="0"/>
          <w:caps w:val="0"/>
          <w:color w:val="333333"/>
          <w:spacing w:val="0"/>
          <w:sz w:val="32"/>
          <w:szCs w:val="32"/>
          <w:shd w:val="clear" w:fill="FFFFFF"/>
        </w:rPr>
        <w:t>按规定</w:t>
      </w:r>
      <w:r>
        <w:rPr>
          <w:rFonts w:hint="eastAsia" w:ascii="仿宋_GB2312" w:hAnsi="仿宋_GB2312" w:eastAsia="仿宋_GB2312" w:cs="仿宋_GB2312"/>
          <w:i w:val="0"/>
          <w:caps w:val="0"/>
          <w:color w:val="333333"/>
          <w:spacing w:val="0"/>
          <w:sz w:val="32"/>
          <w:szCs w:val="32"/>
          <w:shd w:val="clear" w:fill="FFFFFF"/>
          <w:lang w:val="en-US" w:eastAsia="zh-CN"/>
        </w:rPr>
        <w:t>参保缴费，经医疗机构或康复机构规范诊疗</w:t>
      </w:r>
      <w:r>
        <w:rPr>
          <w:rFonts w:hint="eastAsia" w:ascii="仿宋_GB2312" w:hAnsi="仿宋_GB2312" w:eastAsia="仿宋_GB2312" w:cs="仿宋_GB2312"/>
          <w:i w:val="0"/>
          <w:caps w:val="0"/>
          <w:color w:val="333333"/>
          <w:spacing w:val="0"/>
          <w:sz w:val="32"/>
          <w:szCs w:val="32"/>
          <w:shd w:val="clear" w:fill="FFFFFF"/>
        </w:rPr>
        <w:t>失能状态长期持续（一般为6个月以上），经申请</w:t>
      </w:r>
      <w:r>
        <w:rPr>
          <w:rFonts w:hint="eastAsia" w:ascii="仿宋_GB2312" w:hAnsi="仿宋_GB2312" w:eastAsia="仿宋_GB2312" w:cs="仿宋_GB2312"/>
          <w:i w:val="0"/>
          <w:caps w:val="0"/>
          <w:color w:val="333333"/>
          <w:spacing w:val="0"/>
          <w:sz w:val="32"/>
          <w:szCs w:val="32"/>
          <w:shd w:val="clear" w:fill="FFFFFF"/>
          <w:lang w:val="en-US" w:eastAsia="zh-CN"/>
        </w:rPr>
        <w:t>通过失能等级</w:t>
      </w:r>
      <w:r>
        <w:rPr>
          <w:rFonts w:hint="eastAsia" w:ascii="仿宋_GB2312" w:hAnsi="仿宋_GB2312" w:eastAsia="仿宋_GB2312" w:cs="仿宋_GB2312"/>
          <w:i w:val="0"/>
          <w:caps w:val="0"/>
          <w:color w:val="333333"/>
          <w:spacing w:val="0"/>
          <w:sz w:val="32"/>
          <w:szCs w:val="32"/>
          <w:shd w:val="clear" w:fill="FFFFFF"/>
        </w:rPr>
        <w:t>评估</w:t>
      </w:r>
      <w:r>
        <w:rPr>
          <w:rFonts w:hint="eastAsia" w:ascii="仿宋_GB2312" w:hAnsi="仿宋_GB2312" w:eastAsia="仿宋_GB2312" w:cs="仿宋_GB2312"/>
          <w:i w:val="0"/>
          <w:caps w:val="0"/>
          <w:color w:val="333333"/>
          <w:spacing w:val="0"/>
          <w:sz w:val="32"/>
          <w:szCs w:val="32"/>
          <w:shd w:val="clear" w:fill="FFFFFF"/>
          <w:lang w:val="en-US" w:eastAsia="zh-CN"/>
        </w:rPr>
        <w:t>认定</w:t>
      </w:r>
      <w:r>
        <w:rPr>
          <w:rFonts w:hint="eastAsia" w:ascii="仿宋_GB2312" w:hAnsi="仿宋_GB2312" w:eastAsia="仿宋_GB2312" w:cs="仿宋_GB2312"/>
          <w:i w:val="0"/>
          <w:caps w:val="0"/>
          <w:color w:val="333333"/>
          <w:spacing w:val="0"/>
          <w:sz w:val="32"/>
          <w:szCs w:val="32"/>
          <w:shd w:val="clear" w:fill="FFFFFF"/>
        </w:rPr>
        <w:t>的</w:t>
      </w:r>
      <w:r>
        <w:rPr>
          <w:rFonts w:hint="eastAsia" w:ascii="仿宋_GB2312" w:hAnsi="仿宋_GB2312" w:eastAsia="仿宋_GB2312" w:cs="仿宋_GB2312"/>
          <w:i w:val="0"/>
          <w:caps w:val="0"/>
          <w:color w:val="333333"/>
          <w:spacing w:val="0"/>
          <w:sz w:val="32"/>
          <w:szCs w:val="32"/>
          <w:shd w:val="clear" w:fill="FFFFFF"/>
          <w:lang w:val="en-US" w:eastAsia="zh-CN"/>
        </w:rPr>
        <w:t>重度</w:t>
      </w:r>
      <w:r>
        <w:rPr>
          <w:rFonts w:hint="eastAsia" w:ascii="仿宋_GB2312" w:hAnsi="仿宋_GB2312" w:eastAsia="仿宋_GB2312" w:cs="仿宋_GB2312"/>
          <w:i w:val="0"/>
          <w:caps w:val="0"/>
          <w:color w:val="333333"/>
          <w:spacing w:val="0"/>
          <w:sz w:val="32"/>
          <w:szCs w:val="32"/>
          <w:shd w:val="clear" w:fill="FFFFFF"/>
        </w:rPr>
        <w:t>失能人员，自评估结论出具次月起享受长护险待遇。领取工伤保险生活护理费的参保人员</w:t>
      </w:r>
      <w:r>
        <w:rPr>
          <w:rFonts w:hint="eastAsia" w:ascii="仿宋_GB2312" w:hAnsi="仿宋_GB2312" w:eastAsia="仿宋_GB2312" w:cs="仿宋_GB2312"/>
          <w:i w:val="0"/>
          <w:caps w:val="0"/>
          <w:color w:val="333333"/>
          <w:spacing w:val="0"/>
          <w:sz w:val="32"/>
          <w:szCs w:val="32"/>
          <w:shd w:val="clear" w:fill="FFFFFF"/>
          <w:lang w:eastAsia="zh-CN"/>
        </w:rPr>
        <w:t>，</w:t>
      </w:r>
      <w:r>
        <w:rPr>
          <w:rFonts w:hint="eastAsia" w:ascii="仿宋_GB2312" w:hAnsi="仿宋_GB2312" w:eastAsia="仿宋_GB2312" w:cs="仿宋_GB2312"/>
          <w:i w:val="0"/>
          <w:caps w:val="0"/>
          <w:color w:val="333333"/>
          <w:spacing w:val="0"/>
          <w:sz w:val="32"/>
          <w:szCs w:val="32"/>
          <w:shd w:val="clear" w:fill="FFFFFF"/>
        </w:rPr>
        <w:t>不重复享受长护险有关服务待遇。</w:t>
      </w:r>
    </w:p>
    <w:p w14:paraId="5FD649AA">
      <w:pPr>
        <w:pStyle w:val="3"/>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u w:val="none"/>
          <w14:textFill>
            <w14:solidFill>
              <w14:schemeClr w14:val="tx1"/>
            </w14:solidFill>
          </w14:textFill>
        </w:rPr>
        <w:t>支付</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范围</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长护险基金主要用于支付符合规定的</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长期护理</w:t>
      </w:r>
      <w:r>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t>服务机构</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以下简称“长护服务机构”</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和人员为保障对象提供</w:t>
      </w:r>
      <w:r>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t>基本</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护理服务所发生的费用，原则上不直接向失能人员发放现金。</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具体支付范围执行国家和省统一的长护险服务项目目录。</w:t>
      </w:r>
    </w:p>
    <w:p w14:paraId="2996EF49">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i w:val="0"/>
          <w:caps w:val="0"/>
          <w:color w:val="333333"/>
          <w:spacing w:val="0"/>
          <w:sz w:val="32"/>
          <w:szCs w:val="32"/>
          <w:shd w:val="clear" w:fill="FFFFFF"/>
          <w:lang w:val="en-US" w:eastAsia="zh-CN"/>
        </w:rPr>
        <w:t xml:space="preserve">   </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 xml:space="preserve"> 第十三条【支付标准】经失能评估符合长护险待遇享受条件的参保人员，发生的符合规定的护理服务费，不设起付标准，依据失能等级、选择护理服务方式不同，按就业人员和未就业人员分别确定支付标准。选择机构护理、社区护理和居家护理的，就业人员基金支付比例分别为65%、70%、75%，未就业人员基金支付比例分别为45%、50%、55%。基金年度最高支付限额就业人员不超过16920元，未就业人员不超过12240元。按照省级统一安排，原则上5年调整一次待遇支付标准。</w:t>
      </w:r>
    </w:p>
    <w:p w14:paraId="6A8EC5A2">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退休人员享受单位职工待遇。灵活就业人员依据选择的参保类型享受相应待遇。18周岁以下的未就业人员符合待遇享受条件的，按照未就业人员标准享受待遇。</w:t>
      </w:r>
    </w:p>
    <w:p w14:paraId="6F34FE3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caps w:val="0"/>
          <w:color w:val="333333"/>
          <w:spacing w:val="0"/>
          <w:sz w:val="32"/>
          <w:szCs w:val="32"/>
          <w:shd w:val="clear" w:fill="FFFFFF"/>
        </w:rPr>
      </w:pPr>
      <w:r>
        <w:rPr>
          <w:rFonts w:hint="eastAsia" w:ascii="仿宋_GB2312" w:hAnsi="仿宋_GB2312" w:eastAsia="仿宋_GB2312" w:cs="仿宋_GB2312"/>
          <w:i w:val="0"/>
          <w:caps w:val="0"/>
          <w:color w:val="333333"/>
          <w:spacing w:val="0"/>
          <w:sz w:val="32"/>
          <w:szCs w:val="32"/>
          <w:shd w:val="clear" w:fill="FFFFFF"/>
        </w:rPr>
        <w:t>第十</w:t>
      </w:r>
      <w:r>
        <w:rPr>
          <w:rFonts w:hint="eastAsia" w:ascii="仿宋_GB2312" w:hAnsi="仿宋_GB2312" w:eastAsia="仿宋_GB2312" w:cs="仿宋_GB2312"/>
          <w:i w:val="0"/>
          <w:caps w:val="0"/>
          <w:color w:val="333333"/>
          <w:spacing w:val="0"/>
          <w:sz w:val="32"/>
          <w:szCs w:val="32"/>
          <w:shd w:val="clear" w:fill="FFFFFF"/>
          <w:lang w:val="en-US" w:eastAsia="zh-CN"/>
        </w:rPr>
        <w:t>四</w:t>
      </w:r>
      <w:r>
        <w:rPr>
          <w:rFonts w:hint="eastAsia" w:ascii="仿宋_GB2312" w:hAnsi="仿宋_GB2312" w:eastAsia="仿宋_GB2312" w:cs="仿宋_GB2312"/>
          <w:i w:val="0"/>
          <w:caps w:val="0"/>
          <w:color w:val="333333"/>
          <w:spacing w:val="0"/>
          <w:sz w:val="32"/>
          <w:szCs w:val="32"/>
          <w:shd w:val="clear" w:fill="FFFFFF"/>
        </w:rPr>
        <w:t>条</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【服务标准】</w:t>
      </w:r>
      <w:r>
        <w:rPr>
          <w:rFonts w:hint="eastAsia" w:ascii="仿宋_GB2312" w:hAnsi="仿宋_GB2312" w:eastAsia="仿宋_GB2312" w:cs="仿宋_GB2312"/>
          <w:i w:val="0"/>
          <w:caps w:val="0"/>
          <w:color w:val="333333"/>
          <w:spacing w:val="0"/>
          <w:sz w:val="32"/>
          <w:szCs w:val="32"/>
          <w:shd w:val="clear" w:fill="FFFFFF"/>
        </w:rPr>
        <w:t xml:space="preserve"> 鼓励参保人员选择居家和社区护理服务。参保人员选择居家或社区护理服务的，按服务时长付费，每次服务时长不得少于1.5小时，付费标准为6</w:t>
      </w:r>
      <w:r>
        <w:rPr>
          <w:rFonts w:hint="eastAsia" w:ascii="仿宋_GB2312" w:hAnsi="仿宋_GB2312" w:eastAsia="仿宋_GB2312" w:cs="仿宋_GB2312"/>
          <w:i w:val="0"/>
          <w:caps w:val="0"/>
          <w:color w:val="333333"/>
          <w:spacing w:val="0"/>
          <w:sz w:val="32"/>
          <w:szCs w:val="32"/>
          <w:shd w:val="clear" w:fill="FFFFFF"/>
          <w:lang w:val="en-US" w:eastAsia="zh-CN"/>
        </w:rPr>
        <w:t>0</w:t>
      </w:r>
      <w:r>
        <w:rPr>
          <w:rFonts w:hint="eastAsia" w:ascii="仿宋_GB2312" w:hAnsi="仿宋_GB2312" w:eastAsia="仿宋_GB2312" w:cs="仿宋_GB2312"/>
          <w:i w:val="0"/>
          <w:caps w:val="0"/>
          <w:color w:val="333333"/>
          <w:spacing w:val="0"/>
          <w:sz w:val="32"/>
          <w:szCs w:val="32"/>
          <w:shd w:val="clear" w:fill="FFFFFF"/>
        </w:rPr>
        <w:t>元/小时，长护险基金每周支付的服务频次不超过4次。按就业人员参保政策参保缴费的，重度一级失能、重度二级失能、重度三级失能每月长护险基金累计支付的服务时长分别不超过2</w:t>
      </w:r>
      <w:r>
        <w:rPr>
          <w:rFonts w:hint="eastAsia" w:ascii="仿宋_GB2312" w:hAnsi="仿宋_GB2312" w:eastAsia="仿宋_GB2312" w:cs="仿宋_GB2312"/>
          <w:i w:val="0"/>
          <w:caps w:val="0"/>
          <w:color w:val="333333"/>
          <w:spacing w:val="0"/>
          <w:sz w:val="32"/>
          <w:szCs w:val="32"/>
          <w:shd w:val="clear" w:fill="FFFFFF"/>
          <w:lang w:val="en-US" w:eastAsia="zh-CN"/>
        </w:rPr>
        <w:t>1</w:t>
      </w:r>
      <w:r>
        <w:rPr>
          <w:rFonts w:hint="eastAsia" w:ascii="仿宋_GB2312" w:hAnsi="仿宋_GB2312" w:eastAsia="仿宋_GB2312" w:cs="仿宋_GB2312"/>
          <w:i w:val="0"/>
          <w:caps w:val="0"/>
          <w:color w:val="333333"/>
          <w:spacing w:val="0"/>
          <w:sz w:val="32"/>
          <w:szCs w:val="32"/>
          <w:shd w:val="clear" w:fill="FFFFFF"/>
        </w:rPr>
        <w:t>、2</w:t>
      </w:r>
      <w:r>
        <w:rPr>
          <w:rFonts w:hint="eastAsia" w:ascii="仿宋_GB2312" w:hAnsi="仿宋_GB2312" w:eastAsia="仿宋_GB2312" w:cs="仿宋_GB2312"/>
          <w:i w:val="0"/>
          <w:caps w:val="0"/>
          <w:color w:val="333333"/>
          <w:spacing w:val="0"/>
          <w:sz w:val="32"/>
          <w:szCs w:val="32"/>
          <w:shd w:val="clear" w:fill="FFFFFF"/>
          <w:lang w:val="en-US" w:eastAsia="zh-CN"/>
        </w:rPr>
        <w:t>2</w:t>
      </w:r>
      <w:r>
        <w:rPr>
          <w:rFonts w:hint="eastAsia" w:ascii="仿宋_GB2312" w:hAnsi="仿宋_GB2312" w:eastAsia="仿宋_GB2312" w:cs="仿宋_GB2312"/>
          <w:i w:val="0"/>
          <w:caps w:val="0"/>
          <w:color w:val="333333"/>
          <w:spacing w:val="0"/>
          <w:sz w:val="32"/>
          <w:szCs w:val="32"/>
          <w:shd w:val="clear" w:fill="FFFFFF"/>
        </w:rPr>
        <w:t>、2</w:t>
      </w:r>
      <w:r>
        <w:rPr>
          <w:rFonts w:hint="eastAsia" w:ascii="仿宋_GB2312" w:hAnsi="仿宋_GB2312" w:eastAsia="仿宋_GB2312" w:cs="仿宋_GB2312"/>
          <w:i w:val="0"/>
          <w:caps w:val="0"/>
          <w:color w:val="333333"/>
          <w:spacing w:val="0"/>
          <w:sz w:val="32"/>
          <w:szCs w:val="32"/>
          <w:shd w:val="clear" w:fill="FFFFFF"/>
          <w:lang w:val="en-US" w:eastAsia="zh-CN"/>
        </w:rPr>
        <w:t>3</w:t>
      </w:r>
      <w:r>
        <w:rPr>
          <w:rFonts w:hint="eastAsia" w:ascii="仿宋_GB2312" w:hAnsi="仿宋_GB2312" w:eastAsia="仿宋_GB2312" w:cs="仿宋_GB2312"/>
          <w:i w:val="0"/>
          <w:caps w:val="0"/>
          <w:color w:val="333333"/>
          <w:spacing w:val="0"/>
          <w:sz w:val="32"/>
          <w:szCs w:val="32"/>
          <w:shd w:val="clear" w:fill="FFFFFF"/>
        </w:rPr>
        <w:t>小时；按未就业城乡居民参保政策参保缴费的，重度一级失能、重度二级失能、重度三级失能每月长护险基金累计支付的服务时长分别不超过13、15、1</w:t>
      </w:r>
      <w:r>
        <w:rPr>
          <w:rFonts w:hint="eastAsia" w:ascii="仿宋_GB2312" w:hAnsi="仿宋_GB2312" w:eastAsia="仿宋_GB2312" w:cs="仿宋_GB2312"/>
          <w:i w:val="0"/>
          <w:caps w:val="0"/>
          <w:color w:val="333333"/>
          <w:spacing w:val="0"/>
          <w:sz w:val="32"/>
          <w:szCs w:val="32"/>
          <w:shd w:val="clear" w:fill="FFFFFF"/>
          <w:lang w:val="en-US" w:eastAsia="zh-CN"/>
        </w:rPr>
        <w:t>7</w:t>
      </w:r>
      <w:r>
        <w:rPr>
          <w:rFonts w:hint="eastAsia" w:ascii="仿宋_GB2312" w:hAnsi="仿宋_GB2312" w:eastAsia="仿宋_GB2312" w:cs="仿宋_GB2312"/>
          <w:i w:val="0"/>
          <w:caps w:val="0"/>
          <w:color w:val="333333"/>
          <w:spacing w:val="0"/>
          <w:sz w:val="32"/>
          <w:szCs w:val="32"/>
          <w:shd w:val="clear" w:fill="FFFFFF"/>
        </w:rPr>
        <w:t>小时。</w:t>
      </w:r>
    </w:p>
    <w:p w14:paraId="21DE66C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第十</w:t>
      </w:r>
      <w:r>
        <w:rPr>
          <w:rFonts w:hint="eastAsia" w:ascii="仿宋_GB2312" w:hAnsi="仿宋_GB2312" w:eastAsia="仿宋_GB2312" w:cs="仿宋_GB2312"/>
          <w:i w:val="0"/>
          <w:caps w:val="0"/>
          <w:color w:val="333333"/>
          <w:spacing w:val="0"/>
          <w:sz w:val="32"/>
          <w:szCs w:val="32"/>
          <w:shd w:val="clear" w:fill="FFFFFF"/>
          <w:lang w:val="en-US" w:eastAsia="zh-CN"/>
        </w:rPr>
        <w:t>五</w:t>
      </w:r>
      <w:r>
        <w:rPr>
          <w:rFonts w:hint="eastAsia" w:ascii="仿宋_GB2312" w:hAnsi="仿宋_GB2312" w:eastAsia="仿宋_GB2312" w:cs="仿宋_GB2312"/>
          <w:i w:val="0"/>
          <w:caps w:val="0"/>
          <w:color w:val="333333"/>
          <w:spacing w:val="0"/>
          <w:sz w:val="32"/>
          <w:szCs w:val="32"/>
          <w:shd w:val="clear" w:fill="FFFFFF"/>
        </w:rPr>
        <w:t>条</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支付凭证</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caps w:val="0"/>
          <w:color w:val="333333"/>
          <w:spacing w:val="0"/>
          <w:sz w:val="32"/>
          <w:szCs w:val="32"/>
          <w:shd w:val="clear" w:fill="FFFFFF"/>
        </w:rPr>
        <w:t>参保人员凭医保电子凭证或社保卡享受长护险待遇，应由长护险基金支付的费用由医保经办机构与定点长护服务机构按月结算。</w:t>
      </w:r>
      <w:r>
        <w:rPr>
          <w:rFonts w:hint="eastAsia" w:ascii="仿宋_GB2312" w:hAnsi="仿宋_GB2312" w:eastAsia="仿宋_GB2312" w:cs="仿宋_GB2312"/>
          <w:i w:val="0"/>
          <w:caps w:val="0"/>
          <w:color w:val="333333"/>
          <w:spacing w:val="0"/>
          <w:sz w:val="32"/>
          <w:szCs w:val="32"/>
          <w:shd w:val="clear" w:fill="FFFFFF"/>
          <w:lang w:val="en-US" w:eastAsia="zh-CN"/>
        </w:rPr>
        <w:t xml:space="preserve">  </w:t>
      </w:r>
    </w:p>
    <w:p w14:paraId="4ECC8371">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jc w:val="both"/>
        <w:textAlignment w:val="auto"/>
        <w:outlineLvl w:val="9"/>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pPr>
      <w:r>
        <w:rPr>
          <w:rFonts w:hint="eastAsia" w:ascii="仿宋_GB2312" w:hAnsi="仿宋_GB2312" w:eastAsia="仿宋_GB2312" w:cs="仿宋_GB2312"/>
          <w:i w:val="0"/>
          <w:caps w:val="0"/>
          <w:color w:val="333333"/>
          <w:spacing w:val="0"/>
          <w:sz w:val="32"/>
          <w:szCs w:val="32"/>
          <w:shd w:val="clear" w:fill="FFFFFF"/>
        </w:rPr>
        <w:t>第十六条</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t>激励约束机制</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t>建立缴费时长和待遇水平相挂钩的连续参保激励机制</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p>
    <w:p w14:paraId="641EAEEB">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640"/>
        <w:jc w:val="both"/>
        <w:textAlignment w:val="auto"/>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从2028年1月1日</w:t>
      </w:r>
      <w:r>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t>起，对连续参加</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长护保险</w:t>
      </w:r>
      <w:r>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t>并缴费满4年的未就业人员，之后每连续参保1年，每年提高基金支付比例1个百分点，累计提高支付比例最高不超过5%。断保后再次参保的，连续参保缴费年限重新计算，原积累的连续参保激励不保留。</w:t>
      </w:r>
    </w:p>
    <w:p w14:paraId="2418157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0"/>
        <w:jc w:val="left"/>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t>除新生儿、政府资助参加</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长护险</w:t>
      </w:r>
      <w:r>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t>对象等特殊群体外，对未在</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我市长护险</w:t>
      </w:r>
      <w:r>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t>制度启动时初次参保或未连续参保的人员，设置参保后固定待遇等待期6个月；每多断保1年，原则上在固定待遇等待期基础上增加变动待遇等待期1个月，参保人员可通过缴费修复变动待遇等待期，每多缴纳1年可减少1个月变动待遇等待期。连续断缴4年及以上的，修复后固定待遇等待期和变动待遇等待期之和原则上不少于9个月。修复变动待遇等待期的缴费标准，按修复当年个人缴费标准执行。</w:t>
      </w:r>
    </w:p>
    <w:p w14:paraId="07D7DF3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outlineLvl w:val="9"/>
        <w:rPr>
          <w:rFonts w:hint="eastAsia" w:ascii="仿宋_GB2312" w:hAnsi="仿宋_GB2312" w:eastAsia="仿宋_GB2312" w:cs="仿宋_GB2312"/>
          <w:i w:val="0"/>
          <w:caps w:val="0"/>
          <w:color w:val="333333"/>
          <w:spacing w:val="0"/>
          <w:sz w:val="32"/>
          <w:szCs w:val="32"/>
          <w:shd w:val="clear" w:fill="FFFFFF"/>
        </w:rPr>
      </w:pPr>
      <w:r>
        <w:rPr>
          <w:rFonts w:hint="eastAsia" w:ascii="仿宋_GB2312" w:hAnsi="仿宋_GB2312" w:eastAsia="仿宋_GB2312" w:cs="仿宋_GB2312"/>
          <w:i w:val="0"/>
          <w:caps w:val="0"/>
          <w:color w:val="333333"/>
          <w:spacing w:val="0"/>
          <w:sz w:val="32"/>
          <w:szCs w:val="32"/>
          <w:shd w:val="clear" w:fill="FFFFFF"/>
          <w:lang w:val="en-US" w:eastAsia="zh-CN"/>
        </w:rPr>
        <w:t xml:space="preserve">    </w:t>
      </w:r>
      <w:r>
        <w:rPr>
          <w:rFonts w:hint="eastAsia" w:ascii="仿宋_GB2312" w:hAnsi="仿宋_GB2312" w:eastAsia="仿宋_GB2312" w:cs="仿宋_GB2312"/>
          <w:i w:val="0"/>
          <w:caps w:val="0"/>
          <w:color w:val="333333"/>
          <w:spacing w:val="0"/>
          <w:sz w:val="32"/>
          <w:szCs w:val="32"/>
          <w:shd w:val="clear" w:fill="FFFFFF"/>
        </w:rPr>
        <w:t>就业人员未按规定缴费的，从欠费次月起暂停长护险待遇；用人单位欠费的，欠费期间和待遇享受等待期内发生的费用由用人单位按本实施细则规定的待遇标准支付。</w:t>
      </w:r>
    </w:p>
    <w:p w14:paraId="736E8F1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jc w:val="left"/>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参保人员在长护险待遇享受期间变更参保身份且在3个月内参保缴费的，自缴费次月起按新身份享受待遇。</w:t>
      </w:r>
    </w:p>
    <w:p w14:paraId="0333028B">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jc w:val="both"/>
        <w:textAlignment w:val="auto"/>
        <w:rPr>
          <w:rFonts w:hint="eastAsia" w:ascii="仿宋_GB2312" w:hAnsi="仿宋_GB2312" w:eastAsia="仿宋_GB2312" w:cs="仿宋_GB2312"/>
          <w:i w:val="0"/>
          <w:iCs w:val="0"/>
          <w:caps w:val="0"/>
          <w:color w:val="000000" w:themeColor="text1"/>
          <w:spacing w:val="0"/>
          <w:kern w:val="0"/>
          <w:sz w:val="32"/>
          <w:szCs w:val="32"/>
          <w:u w:val="none"/>
          <w:shd w:val="clear" w:color="auto" w:fill="FFFFFF"/>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spacing w:val="3"/>
          <w:sz w:val="32"/>
          <w:szCs w:val="32"/>
          <w:u w:val="none"/>
          <w:lang w:val="en-US" w:eastAsia="zh-CN"/>
          <w14:textFill>
            <w14:solidFill>
              <w14:schemeClr w14:val="tx1"/>
            </w14:solidFill>
          </w14:textFill>
        </w:rPr>
        <w:t>第十七条</w:t>
      </w:r>
      <w:r>
        <w:rPr>
          <w:rFonts w:hint="eastAsia" w:ascii="仿宋_GB2312" w:hAnsi="仿宋_GB2312" w:eastAsia="仿宋_GB2312" w:cs="仿宋_GB2312"/>
          <w:b w:val="0"/>
          <w:bCs w:val="0"/>
          <w:color w:val="000000" w:themeColor="text1"/>
          <w:spacing w:val="3"/>
          <w:sz w:val="32"/>
          <w:szCs w:val="32"/>
          <w:u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3"/>
          <w:sz w:val="32"/>
          <w:szCs w:val="32"/>
          <w:u w:val="none"/>
          <w:lang w:val="en-US" w:eastAsia="zh-CN"/>
          <w14:textFill>
            <w14:solidFill>
              <w14:schemeClr w14:val="tx1"/>
            </w14:solidFill>
          </w14:textFill>
        </w:rPr>
        <w:t>待遇</w:t>
      </w:r>
      <w:r>
        <w:rPr>
          <w:rFonts w:hint="eastAsia" w:ascii="仿宋_GB2312" w:hAnsi="仿宋_GB2312" w:eastAsia="仿宋_GB2312" w:cs="仿宋_GB2312"/>
          <w:b w:val="0"/>
          <w:bCs w:val="0"/>
          <w:color w:val="000000" w:themeColor="text1"/>
          <w:spacing w:val="3"/>
          <w:sz w:val="32"/>
          <w:szCs w:val="32"/>
          <w:u w:val="none"/>
          <w14:textFill>
            <w14:solidFill>
              <w14:schemeClr w14:val="tx1"/>
            </w14:solidFill>
          </w14:textFill>
        </w:rPr>
        <w:t>衔接</w:t>
      </w:r>
      <w:r>
        <w:rPr>
          <w:rFonts w:hint="eastAsia" w:ascii="仿宋_GB2312" w:hAnsi="仿宋_GB2312" w:eastAsia="仿宋_GB2312" w:cs="仿宋_GB2312"/>
          <w:b w:val="0"/>
          <w:bCs w:val="0"/>
          <w:color w:val="000000" w:themeColor="text1"/>
          <w:spacing w:val="3"/>
          <w:sz w:val="32"/>
          <w:szCs w:val="32"/>
          <w:u w:val="none"/>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kern w:val="0"/>
          <w:sz w:val="32"/>
          <w:szCs w:val="32"/>
          <w:u w:val="none"/>
          <w:shd w:val="clear" w:color="auto" w:fill="FFFFFF"/>
          <w:lang w:val="en-US" w:eastAsia="zh-CN" w:bidi="ar"/>
          <w14:textFill>
            <w14:solidFill>
              <w14:schemeClr w14:val="tx1"/>
            </w14:solidFill>
          </w14:textFill>
        </w:rPr>
        <w:t>做好长护险与经济困难的高龄、失能老年人补贴以及重度残疾人护理补贴等待遇政策的衔接。</w:t>
      </w:r>
    </w:p>
    <w:p w14:paraId="7C223A8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outlineLvl w:val="9"/>
        <w:rPr>
          <w:rFonts w:hint="eastAsia" w:ascii="仿宋_GB2312" w:hAnsi="仿宋_GB2312" w:eastAsia="仿宋_GB2312" w:cs="仿宋_GB2312"/>
          <w:i w:val="0"/>
          <w:iCs w:val="0"/>
          <w:caps w:val="0"/>
          <w:color w:val="000000" w:themeColor="text1"/>
          <w:spacing w:val="0"/>
          <w:kern w:val="0"/>
          <w:sz w:val="32"/>
          <w:szCs w:val="32"/>
          <w:u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32"/>
          <w:szCs w:val="32"/>
          <w:u w:val="none"/>
          <w:shd w:val="clear" w:color="auto" w:fill="FFFFFF"/>
          <w:lang w:val="en-US" w:eastAsia="zh-CN" w:bidi="ar"/>
          <w14:textFill>
            <w14:solidFill>
              <w14:schemeClr w14:val="tx1"/>
            </w14:solidFill>
          </w14:textFill>
        </w:rPr>
        <w:t xml:space="preserve">    </w:t>
      </w:r>
      <w:r>
        <w:rPr>
          <w:rFonts w:hint="eastAsia" w:ascii="仿宋_GB2312" w:hAnsi="仿宋_GB2312" w:eastAsia="仿宋_GB2312" w:cs="仿宋_GB2312"/>
          <w:b w:val="0"/>
          <w:bCs w:val="0"/>
          <w:color w:val="000000" w:themeColor="text1"/>
          <w:spacing w:val="3"/>
          <w:sz w:val="32"/>
          <w:szCs w:val="32"/>
          <w:u w:val="none"/>
          <w:lang w:val="en-US" w:eastAsia="zh-CN"/>
          <w14:textFill>
            <w14:solidFill>
              <w14:schemeClr w14:val="tx1"/>
            </w14:solidFill>
          </w14:textFill>
        </w:rPr>
        <w:t>第十八条</w:t>
      </w:r>
      <w:r>
        <w:rPr>
          <w:rFonts w:hint="eastAsia" w:ascii="仿宋_GB2312" w:hAnsi="仿宋_GB2312" w:eastAsia="仿宋_GB2312" w:cs="仿宋_GB2312"/>
          <w:b w:val="0"/>
          <w:bCs w:val="0"/>
          <w:color w:val="000000" w:themeColor="text1"/>
          <w:spacing w:val="3"/>
          <w:sz w:val="32"/>
          <w:szCs w:val="32"/>
          <w:u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3"/>
          <w:sz w:val="32"/>
          <w:szCs w:val="32"/>
          <w:u w:val="none"/>
          <w:lang w:val="en-US" w:eastAsia="zh-CN"/>
          <w14:textFill>
            <w14:solidFill>
              <w14:schemeClr w14:val="tx1"/>
            </w14:solidFill>
          </w14:textFill>
        </w:rPr>
        <w:t>慈善救助</w:t>
      </w:r>
      <w:r>
        <w:rPr>
          <w:rFonts w:hint="eastAsia" w:ascii="仿宋_GB2312" w:hAnsi="仿宋_GB2312" w:eastAsia="仿宋_GB2312" w:cs="仿宋_GB2312"/>
          <w:b w:val="0"/>
          <w:bCs w:val="0"/>
          <w:color w:val="000000" w:themeColor="text1"/>
          <w:spacing w:val="3"/>
          <w:sz w:val="32"/>
          <w:szCs w:val="32"/>
          <w:u w:val="none"/>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kern w:val="0"/>
          <w:sz w:val="32"/>
          <w:szCs w:val="32"/>
          <w:u w:val="none"/>
          <w:shd w:val="clear" w:color="auto" w:fill="FFFFFF"/>
          <w:lang w:val="en-US" w:eastAsia="zh-CN" w:bidi="ar"/>
          <w14:textFill>
            <w14:solidFill>
              <w14:schemeClr w14:val="tx1"/>
            </w14:solidFill>
          </w14:textFill>
        </w:rPr>
        <w:t>支持、引导和鼓励通过慈善捐赠等多种渠道，对特定人群参加</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长护险</w:t>
      </w:r>
      <w:r>
        <w:rPr>
          <w:rFonts w:hint="eastAsia" w:ascii="仿宋_GB2312" w:hAnsi="仿宋_GB2312" w:eastAsia="仿宋_GB2312" w:cs="仿宋_GB2312"/>
          <w:i w:val="0"/>
          <w:iCs w:val="0"/>
          <w:caps w:val="0"/>
          <w:color w:val="000000" w:themeColor="text1"/>
          <w:spacing w:val="0"/>
          <w:kern w:val="0"/>
          <w:sz w:val="32"/>
          <w:szCs w:val="32"/>
          <w:u w:val="none"/>
          <w:shd w:val="clear" w:color="auto" w:fill="FFFFFF"/>
          <w:lang w:val="en-US" w:eastAsia="zh-CN" w:bidi="ar"/>
          <w14:textFill>
            <w14:solidFill>
              <w14:schemeClr w14:val="tx1"/>
            </w14:solidFill>
          </w14:textFill>
        </w:rPr>
        <w:t>个人缴费部分和享受待遇的个人自付费用给予补助。</w:t>
      </w:r>
    </w:p>
    <w:p w14:paraId="0C1F517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iCs w:val="0"/>
          <w:caps w:val="0"/>
          <w:color w:val="000000" w:themeColor="text1"/>
          <w:spacing w:val="0"/>
          <w:kern w:val="0"/>
          <w:sz w:val="32"/>
          <w:szCs w:val="32"/>
          <w:u w:val="none"/>
          <w:shd w:val="clear" w:color="auto" w:fill="FFFFFF"/>
          <w:lang w:val="en-US" w:eastAsia="zh-CN" w:bidi="ar"/>
          <w14:textFill>
            <w14:solidFill>
              <w14:schemeClr w14:val="tx1"/>
            </w14:solidFill>
          </w14:textFill>
        </w:rPr>
        <w:t xml:space="preserve">   </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第</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十九</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条</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【待遇终止】</w:t>
      </w:r>
      <w:r>
        <w:rPr>
          <w:rFonts w:hint="eastAsia" w:ascii="仿宋_GB2312" w:hAnsi="仿宋_GB2312" w:eastAsia="仿宋_GB2312" w:cs="仿宋_GB2312"/>
          <w:i w:val="0"/>
          <w:caps w:val="0"/>
          <w:color w:val="333333"/>
          <w:spacing w:val="0"/>
          <w:sz w:val="32"/>
          <w:szCs w:val="32"/>
          <w:shd w:val="clear" w:fill="FFFFFF"/>
          <w:lang w:val="en-US" w:eastAsia="zh-CN"/>
        </w:rPr>
        <w:t>享受长护险待遇的参保人员</w:t>
      </w:r>
      <w:r>
        <w:rPr>
          <w:rFonts w:hint="eastAsia" w:ascii="仿宋_GB2312" w:hAnsi="仿宋_GB2312" w:eastAsia="仿宋_GB2312" w:cs="仿宋_GB2312"/>
          <w:i w:val="0"/>
          <w:caps w:val="0"/>
          <w:color w:val="333333"/>
          <w:spacing w:val="0"/>
          <w:sz w:val="32"/>
          <w:szCs w:val="32"/>
          <w:shd w:val="clear" w:fill="FFFFFF"/>
        </w:rPr>
        <w:t>出现下列情形之一的，终止</w:t>
      </w:r>
      <w:r>
        <w:rPr>
          <w:rFonts w:hint="eastAsia" w:ascii="仿宋_GB2312" w:hAnsi="仿宋_GB2312" w:eastAsia="仿宋_GB2312" w:cs="仿宋_GB2312"/>
          <w:i w:val="0"/>
          <w:caps w:val="0"/>
          <w:color w:val="333333"/>
          <w:spacing w:val="0"/>
          <w:sz w:val="32"/>
          <w:szCs w:val="32"/>
          <w:shd w:val="clear" w:fill="FFFFFF"/>
          <w:lang w:val="en-US" w:eastAsia="zh-CN"/>
        </w:rPr>
        <w:t>或中止待遇享受</w:t>
      </w:r>
      <w:r>
        <w:rPr>
          <w:rFonts w:hint="eastAsia" w:ascii="仿宋_GB2312" w:hAnsi="仿宋_GB2312" w:eastAsia="仿宋_GB2312" w:cs="仿宋_GB2312"/>
          <w:i w:val="0"/>
          <w:caps w:val="0"/>
          <w:color w:val="333333"/>
          <w:spacing w:val="0"/>
          <w:sz w:val="32"/>
          <w:szCs w:val="32"/>
          <w:shd w:val="clear" w:fill="FFFFFF"/>
          <w:lang w:eastAsia="zh-CN"/>
        </w:rPr>
        <w:t>：</w:t>
      </w:r>
    </w:p>
    <w:p w14:paraId="07BAF5C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　　1．</w:t>
      </w:r>
      <w:r>
        <w:rPr>
          <w:rFonts w:hint="eastAsia" w:ascii="仿宋_GB2312" w:hAnsi="仿宋_GB2312" w:eastAsia="仿宋_GB2312" w:cs="仿宋_GB2312"/>
          <w:i w:val="0"/>
          <w:caps w:val="0"/>
          <w:color w:val="333333"/>
          <w:spacing w:val="0"/>
          <w:sz w:val="32"/>
          <w:szCs w:val="32"/>
          <w:shd w:val="clear" w:fill="FFFFFF"/>
          <w:lang w:val="en-US" w:eastAsia="zh-CN"/>
        </w:rPr>
        <w:t>参保人员</w:t>
      </w:r>
      <w:r>
        <w:rPr>
          <w:rFonts w:hint="eastAsia" w:ascii="仿宋_GB2312" w:hAnsi="仿宋_GB2312" w:eastAsia="仿宋_GB2312" w:cs="仿宋_GB2312"/>
          <w:i w:val="0"/>
          <w:caps w:val="0"/>
          <w:color w:val="333333"/>
          <w:spacing w:val="0"/>
          <w:sz w:val="32"/>
          <w:szCs w:val="32"/>
          <w:shd w:val="clear" w:fill="FFFFFF"/>
        </w:rPr>
        <w:t>死亡的；</w:t>
      </w:r>
    </w:p>
    <w:p w14:paraId="7DF2C13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　　2．</w:t>
      </w:r>
      <w:r>
        <w:rPr>
          <w:rFonts w:hint="eastAsia" w:ascii="仿宋_GB2312" w:hAnsi="仿宋_GB2312" w:eastAsia="仿宋_GB2312" w:cs="仿宋_GB2312"/>
          <w:i w:val="0"/>
          <w:caps w:val="0"/>
          <w:color w:val="333333"/>
          <w:spacing w:val="0"/>
          <w:sz w:val="32"/>
          <w:szCs w:val="32"/>
          <w:shd w:val="clear" w:fill="FFFFFF"/>
          <w:lang w:val="en-US" w:eastAsia="zh-CN"/>
        </w:rPr>
        <w:t>经重新</w:t>
      </w:r>
      <w:r>
        <w:rPr>
          <w:rFonts w:hint="eastAsia" w:ascii="仿宋_GB2312" w:hAnsi="仿宋_GB2312" w:eastAsia="仿宋_GB2312" w:cs="仿宋_GB2312"/>
          <w:i w:val="0"/>
          <w:caps w:val="0"/>
          <w:color w:val="333333"/>
          <w:spacing w:val="0"/>
          <w:sz w:val="32"/>
          <w:szCs w:val="32"/>
          <w:shd w:val="clear" w:fill="FFFFFF"/>
        </w:rPr>
        <w:t>评估</w:t>
      </w:r>
      <w:r>
        <w:rPr>
          <w:rFonts w:hint="eastAsia" w:ascii="仿宋_GB2312" w:hAnsi="仿宋_GB2312" w:eastAsia="仿宋_GB2312" w:cs="仿宋_GB2312"/>
          <w:i w:val="0"/>
          <w:caps w:val="0"/>
          <w:color w:val="333333"/>
          <w:spacing w:val="0"/>
          <w:sz w:val="32"/>
          <w:szCs w:val="32"/>
          <w:shd w:val="clear" w:fill="FFFFFF"/>
          <w:lang w:val="en-US" w:eastAsia="zh-CN"/>
        </w:rPr>
        <w:t>不符合</w:t>
      </w:r>
      <w:r>
        <w:rPr>
          <w:rFonts w:hint="eastAsia" w:ascii="仿宋_GB2312" w:hAnsi="仿宋_GB2312" w:eastAsia="仿宋_GB2312" w:cs="仿宋_GB2312"/>
          <w:i w:val="0"/>
          <w:caps w:val="0"/>
          <w:color w:val="333333"/>
          <w:spacing w:val="0"/>
          <w:sz w:val="32"/>
          <w:szCs w:val="32"/>
          <w:shd w:val="clear" w:fill="FFFFFF"/>
        </w:rPr>
        <w:t>待遇享受条件的；</w:t>
      </w:r>
    </w:p>
    <w:p w14:paraId="6F86379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0"/>
        <w:jc w:val="left"/>
        <w:textAlignment w:val="auto"/>
        <w:outlineLvl w:val="9"/>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rPr>
        <w:t>3．</w:t>
      </w:r>
      <w:r>
        <w:rPr>
          <w:rFonts w:hint="eastAsia" w:ascii="仿宋_GB2312" w:hAnsi="仿宋_GB2312" w:eastAsia="仿宋_GB2312" w:cs="仿宋_GB2312"/>
          <w:i w:val="0"/>
          <w:caps w:val="0"/>
          <w:color w:val="333333"/>
          <w:spacing w:val="0"/>
          <w:sz w:val="32"/>
          <w:szCs w:val="32"/>
          <w:shd w:val="clear" w:fill="FFFFFF"/>
          <w:lang w:val="en-US" w:eastAsia="zh-CN"/>
        </w:rPr>
        <w:t>参保人员中止参保或中断缴费的；</w:t>
      </w:r>
    </w:p>
    <w:p w14:paraId="3847F91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0"/>
        <w:jc w:val="left"/>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lang w:val="en-US" w:eastAsia="zh-CN"/>
        </w:rPr>
        <w:t>4、因病情需要住院治疗期间；</w:t>
      </w:r>
    </w:p>
    <w:p w14:paraId="707CCC8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outlineLvl w:val="9"/>
        <w:rPr>
          <w:rFonts w:hint="eastAsia" w:ascii="仿宋_GB2312" w:hAnsi="仿宋_GB2312" w:eastAsia="仿宋_GB2312" w:cs="仿宋_GB2312"/>
          <w:i w:val="0"/>
          <w:iCs w:val="0"/>
          <w:caps w:val="0"/>
          <w:color w:val="000000" w:themeColor="text1"/>
          <w:spacing w:val="0"/>
          <w:kern w:val="0"/>
          <w:sz w:val="32"/>
          <w:szCs w:val="32"/>
          <w:u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333333"/>
          <w:spacing w:val="0"/>
          <w:sz w:val="32"/>
          <w:szCs w:val="32"/>
          <w:shd w:val="clear" w:fill="FFFFFF"/>
        </w:rPr>
        <w:t>　　4．</w:t>
      </w:r>
      <w:r>
        <w:rPr>
          <w:rFonts w:hint="eastAsia" w:ascii="仿宋_GB2312" w:hAnsi="仿宋_GB2312" w:eastAsia="仿宋_GB2312" w:cs="仿宋_GB2312"/>
          <w:i w:val="0"/>
          <w:caps w:val="0"/>
          <w:color w:val="333333"/>
          <w:spacing w:val="0"/>
          <w:sz w:val="32"/>
          <w:szCs w:val="32"/>
          <w:shd w:val="clear" w:fill="FFFFFF"/>
          <w:lang w:val="en-US" w:eastAsia="zh-CN"/>
        </w:rPr>
        <w:t>法律法规和政策规定的其他情形</w:t>
      </w:r>
      <w:r>
        <w:rPr>
          <w:rFonts w:hint="eastAsia" w:ascii="仿宋_GB2312" w:hAnsi="仿宋_GB2312" w:eastAsia="仿宋_GB2312" w:cs="仿宋_GB2312"/>
          <w:i w:val="0"/>
          <w:caps w:val="0"/>
          <w:color w:val="333333"/>
          <w:spacing w:val="0"/>
          <w:sz w:val="32"/>
          <w:szCs w:val="32"/>
          <w:shd w:val="clear" w:fill="FFFFFF"/>
        </w:rPr>
        <w:t>。</w:t>
      </w:r>
    </w:p>
    <w:p w14:paraId="51A1A7A7">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黑体" w:hAnsi="黑体" w:eastAsia="黑体" w:cs="黑体"/>
          <w:i w:val="0"/>
          <w:iCs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黑体" w:hAnsi="黑体" w:eastAsia="黑体" w:cs="黑体"/>
          <w:i w:val="0"/>
          <w:iCs w:val="0"/>
          <w:caps w:val="0"/>
          <w:color w:val="000000" w:themeColor="text1"/>
          <w:spacing w:val="0"/>
          <w:sz w:val="32"/>
          <w:szCs w:val="32"/>
          <w:u w:val="none"/>
          <w:shd w:val="clear" w:fill="FFFFFF"/>
          <w:lang w:val="en-US" w:eastAsia="zh-CN"/>
          <w14:textFill>
            <w14:solidFill>
              <w14:schemeClr w14:val="tx1"/>
            </w14:solidFill>
          </w14:textFill>
        </w:rPr>
        <w:t>第五章    失能等级评估</w:t>
      </w:r>
    </w:p>
    <w:p w14:paraId="649320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0"/>
        <w:jc w:val="left"/>
        <w:textAlignment w:val="auto"/>
        <w:outlineLvl w:val="9"/>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t>第</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二十</w:t>
      </w:r>
      <w:r>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t>条</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【机构管理</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长护险</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失能</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等级评估机构实行定点管理。市级医疗保障行政部门综合考虑失能人员总体规模、评估行业发展实际、管理服务能力等，合理确定定点评估机构的区域分布数量及资源配置。医疗保障经办机构负责确定评估机构，签订评估服务协议，并依服务协议进行管理。</w:t>
      </w:r>
    </w:p>
    <w:p w14:paraId="19BAF68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0"/>
        <w:jc w:val="left"/>
        <w:textAlignment w:val="auto"/>
        <w:outlineLvl w:val="9"/>
        <w:rPr>
          <w:rFonts w:hint="eastAsia" w:ascii="仿宋_GB2312" w:hAnsi="仿宋_GB2312" w:eastAsia="仿宋_GB2312" w:cs="仿宋_GB2312"/>
          <w:i w:val="0"/>
          <w:caps w:val="0"/>
          <w:color w:val="333333"/>
          <w:spacing w:val="0"/>
          <w:sz w:val="32"/>
          <w:szCs w:val="32"/>
          <w:shd w:val="clear" w:fill="FFFFFF"/>
        </w:rPr>
      </w:pPr>
      <w:r>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t>第</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二十一</w:t>
      </w:r>
      <w:r>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t>条</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失能评估</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定点评估机构对</w:t>
      </w:r>
      <w:r>
        <w:rPr>
          <w:rFonts w:hint="eastAsia" w:ascii="仿宋_GB2312" w:hAnsi="仿宋_GB2312" w:eastAsia="仿宋_GB2312" w:cs="仿宋_GB2312"/>
          <w:i w:val="0"/>
          <w:caps w:val="0"/>
          <w:color w:val="333333"/>
          <w:spacing w:val="0"/>
          <w:sz w:val="32"/>
          <w:szCs w:val="32"/>
          <w:shd w:val="clear" w:fill="FFFFFF"/>
          <w:lang w:val="en-US" w:eastAsia="zh-CN"/>
        </w:rPr>
        <w:t>参保人失能</w:t>
      </w:r>
      <w:r>
        <w:rPr>
          <w:rFonts w:hint="eastAsia" w:ascii="仿宋_GB2312" w:hAnsi="仿宋_GB2312" w:eastAsia="仿宋_GB2312" w:cs="仿宋_GB2312"/>
          <w:i w:val="0"/>
          <w:caps w:val="0"/>
          <w:color w:val="333333"/>
          <w:spacing w:val="0"/>
          <w:sz w:val="32"/>
          <w:szCs w:val="32"/>
          <w:shd w:val="clear" w:fill="FFFFFF"/>
        </w:rPr>
        <w:t>等级评估</w:t>
      </w:r>
      <w:r>
        <w:rPr>
          <w:rFonts w:hint="eastAsia" w:ascii="仿宋_GB2312" w:hAnsi="仿宋_GB2312" w:eastAsia="仿宋_GB2312" w:cs="仿宋_GB2312"/>
          <w:i w:val="0"/>
          <w:caps w:val="0"/>
          <w:color w:val="333333"/>
          <w:spacing w:val="0"/>
          <w:sz w:val="32"/>
          <w:szCs w:val="32"/>
          <w:shd w:val="clear" w:fill="FFFFFF"/>
          <w:lang w:val="en-US" w:eastAsia="zh-CN"/>
        </w:rPr>
        <w:t>工作</w:t>
      </w:r>
      <w:r>
        <w:rPr>
          <w:rFonts w:hint="eastAsia" w:ascii="仿宋_GB2312" w:hAnsi="仿宋_GB2312" w:eastAsia="仿宋_GB2312" w:cs="仿宋_GB2312"/>
          <w:i w:val="0"/>
          <w:caps w:val="0"/>
          <w:color w:val="333333"/>
          <w:spacing w:val="0"/>
          <w:sz w:val="32"/>
          <w:szCs w:val="32"/>
          <w:shd w:val="clear" w:fill="FFFFFF"/>
        </w:rPr>
        <w:t>按照国家</w:t>
      </w:r>
      <w:r>
        <w:rPr>
          <w:rFonts w:hint="eastAsia" w:ascii="仿宋_GB2312" w:hAnsi="仿宋_GB2312" w:eastAsia="仿宋_GB2312" w:cs="仿宋_GB2312"/>
          <w:i w:val="0"/>
          <w:caps w:val="0"/>
          <w:color w:val="333333"/>
          <w:spacing w:val="0"/>
          <w:sz w:val="32"/>
          <w:szCs w:val="32"/>
          <w:shd w:val="clear" w:fill="FFFFFF"/>
          <w:lang w:val="en-US" w:eastAsia="zh-CN"/>
        </w:rPr>
        <w:t>和省</w:t>
      </w:r>
      <w:r>
        <w:rPr>
          <w:rFonts w:hint="eastAsia" w:ascii="仿宋_GB2312" w:hAnsi="仿宋_GB2312" w:eastAsia="仿宋_GB2312" w:cs="仿宋_GB2312"/>
          <w:i w:val="0"/>
          <w:caps w:val="0"/>
          <w:color w:val="333333"/>
          <w:spacing w:val="0"/>
          <w:sz w:val="32"/>
          <w:szCs w:val="32"/>
          <w:shd w:val="clear" w:fill="FFFFFF"/>
        </w:rPr>
        <w:t>统一的失能等级评估标准、管理办法、操作指南</w:t>
      </w:r>
      <w:r>
        <w:rPr>
          <w:rFonts w:hint="eastAsia" w:ascii="仿宋_GB2312" w:hAnsi="仿宋_GB2312" w:eastAsia="仿宋_GB2312" w:cs="仿宋_GB2312"/>
          <w:i w:val="0"/>
          <w:caps w:val="0"/>
          <w:color w:val="333333"/>
          <w:spacing w:val="0"/>
          <w:sz w:val="32"/>
          <w:szCs w:val="32"/>
          <w:shd w:val="clear" w:fill="FFFFFF"/>
          <w:lang w:val="en-US" w:eastAsia="zh-CN"/>
        </w:rPr>
        <w:t>等</w:t>
      </w:r>
      <w:r>
        <w:rPr>
          <w:rFonts w:hint="eastAsia" w:ascii="仿宋_GB2312" w:hAnsi="仿宋_GB2312" w:eastAsia="仿宋_GB2312" w:cs="仿宋_GB2312"/>
          <w:i w:val="0"/>
          <w:caps w:val="0"/>
          <w:color w:val="333333"/>
          <w:spacing w:val="0"/>
          <w:sz w:val="32"/>
          <w:szCs w:val="32"/>
          <w:shd w:val="clear" w:fill="FFFFFF"/>
        </w:rPr>
        <w:t>规定执行。</w:t>
      </w:r>
    </w:p>
    <w:p w14:paraId="754D787C">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right="0" w:rightChars="0" w:firstLine="64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第二十二条【费用分担</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建立评估服务费合理分担机制，失能等级评估费用按照省统一规定，由基金和个人分别承担。</w:t>
      </w:r>
    </w:p>
    <w:p w14:paraId="40F98529">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2880" w:firstLineChars="900"/>
        <w:jc w:val="both"/>
        <w:textAlignment w:val="auto"/>
        <w:rPr>
          <w:rFonts w:hint="eastAsia" w:ascii="黑体" w:hAnsi="黑体" w:eastAsia="黑体" w:cs="黑体"/>
          <w:i w:val="0"/>
          <w:iCs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黑体" w:hAnsi="黑体" w:eastAsia="黑体" w:cs="黑体"/>
          <w:i w:val="0"/>
          <w:iCs w:val="0"/>
          <w:caps w:val="0"/>
          <w:color w:val="000000" w:themeColor="text1"/>
          <w:spacing w:val="0"/>
          <w:sz w:val="32"/>
          <w:szCs w:val="32"/>
          <w:u w:val="none"/>
          <w:shd w:val="clear" w:fill="FFFFFF"/>
          <w:lang w:val="en-US" w:eastAsia="zh-CN"/>
          <w14:textFill>
            <w14:solidFill>
              <w14:schemeClr w14:val="tx1"/>
            </w14:solidFill>
          </w14:textFill>
        </w:rPr>
        <w:t xml:space="preserve"> 第六章    护理服务</w:t>
      </w:r>
    </w:p>
    <w:p w14:paraId="10601E36">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jc w:val="both"/>
        <w:textAlignment w:val="auto"/>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第二十三条</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【定点管理】长期护理服务机构（以下简称“长护服务机构”）实行定点管理。</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全市范围内符合长护险定点管理相关规定，能够为失能人员提供长期护理服务的养老机构、医疗机构或者业务范围包括养老服务、照护服务或者护理服务的其他服务机构，可自愿申请成为定点长护服务机构。鼓励符合条件的基层医疗卫生机构、医养结合机构、残疾人康复托养服务机构等提供长期护理服务。</w:t>
      </w:r>
    </w:p>
    <w:p w14:paraId="28000B1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仿宋_GB2312" w:hAnsi="仿宋_GB2312" w:eastAsia="仿宋_GB2312" w:cs="仿宋_GB2312"/>
          <w:i w:val="0"/>
          <w:caps w:val="0"/>
          <w:color w:val="333333"/>
          <w:spacing w:val="0"/>
          <w:sz w:val="32"/>
          <w:szCs w:val="32"/>
          <w:lang w:val="en-US"/>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 xml:space="preserve">    </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第</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二十四</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条</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【机构遴选】市级</w:t>
      </w:r>
      <w:r>
        <w:rPr>
          <w:rFonts w:hint="eastAsia" w:ascii="仿宋_GB2312" w:hAnsi="仿宋_GB2312" w:eastAsia="仿宋_GB2312" w:cs="仿宋_GB2312"/>
          <w:i w:val="0"/>
          <w:caps w:val="0"/>
          <w:color w:val="333333"/>
          <w:spacing w:val="0"/>
          <w:sz w:val="32"/>
          <w:szCs w:val="32"/>
          <w:shd w:val="clear" w:fill="FFFFFF"/>
        </w:rPr>
        <w:t>医疗保障</w:t>
      </w:r>
      <w:r>
        <w:rPr>
          <w:rFonts w:hint="eastAsia" w:ascii="仿宋_GB2312" w:hAnsi="仿宋_GB2312" w:eastAsia="仿宋_GB2312" w:cs="仿宋_GB2312"/>
          <w:i w:val="0"/>
          <w:caps w:val="0"/>
          <w:color w:val="333333"/>
          <w:spacing w:val="0"/>
          <w:sz w:val="32"/>
          <w:szCs w:val="32"/>
          <w:shd w:val="clear" w:fill="FFFFFF"/>
          <w:lang w:val="en-US" w:eastAsia="zh-CN"/>
        </w:rPr>
        <w:t>行政</w:t>
      </w:r>
      <w:r>
        <w:rPr>
          <w:rFonts w:hint="eastAsia" w:ascii="仿宋_GB2312" w:hAnsi="仿宋_GB2312" w:eastAsia="仿宋_GB2312" w:cs="仿宋_GB2312"/>
          <w:i w:val="0"/>
          <w:caps w:val="0"/>
          <w:color w:val="333333"/>
          <w:spacing w:val="0"/>
          <w:sz w:val="32"/>
          <w:szCs w:val="32"/>
          <w:shd w:val="clear" w:fill="FFFFFF"/>
        </w:rPr>
        <w:t>部门</w:t>
      </w:r>
      <w:r>
        <w:rPr>
          <w:rFonts w:hint="eastAsia" w:ascii="仿宋_GB2312" w:hAnsi="仿宋_GB2312" w:eastAsia="仿宋_GB2312" w:cs="仿宋_GB2312"/>
          <w:i w:val="0"/>
          <w:caps w:val="0"/>
          <w:color w:val="333333"/>
          <w:spacing w:val="0"/>
          <w:sz w:val="32"/>
          <w:szCs w:val="32"/>
          <w:shd w:val="clear" w:fill="FFFFFF"/>
          <w:lang w:val="en-US" w:eastAsia="zh-CN"/>
        </w:rPr>
        <w:t>按照“保障基本、布局合理、择优纳入、动态调整”的原则，</w:t>
      </w:r>
      <w:r>
        <w:rPr>
          <w:rFonts w:hint="eastAsia" w:ascii="仿宋_GB2312" w:hAnsi="仿宋_GB2312" w:eastAsia="仿宋_GB2312" w:cs="仿宋_GB2312"/>
          <w:i w:val="0"/>
          <w:caps w:val="0"/>
          <w:color w:val="333333"/>
          <w:spacing w:val="0"/>
          <w:sz w:val="32"/>
          <w:szCs w:val="32"/>
          <w:shd w:val="clear" w:fill="FFFFFF"/>
        </w:rPr>
        <w:t>统筹规划</w:t>
      </w:r>
      <w:r>
        <w:rPr>
          <w:rFonts w:hint="eastAsia" w:ascii="仿宋_GB2312" w:hAnsi="仿宋_GB2312" w:eastAsia="仿宋_GB2312" w:cs="仿宋_GB2312"/>
          <w:i w:val="0"/>
          <w:caps w:val="0"/>
          <w:color w:val="333333"/>
          <w:spacing w:val="0"/>
          <w:sz w:val="32"/>
          <w:szCs w:val="32"/>
          <w:shd w:val="clear" w:fill="FFFFFF"/>
          <w:lang w:val="en-US" w:eastAsia="zh-CN"/>
        </w:rPr>
        <w:t>全市</w:t>
      </w:r>
      <w:r>
        <w:rPr>
          <w:rFonts w:hint="eastAsia" w:ascii="仿宋_GB2312" w:hAnsi="仿宋_GB2312" w:eastAsia="仿宋_GB2312" w:cs="仿宋_GB2312"/>
          <w:i w:val="0"/>
          <w:caps w:val="0"/>
          <w:color w:val="333333"/>
          <w:spacing w:val="0"/>
          <w:sz w:val="32"/>
          <w:szCs w:val="32"/>
          <w:shd w:val="clear" w:fill="FFFFFF"/>
        </w:rPr>
        <w:t>长护服务机构配置</w:t>
      </w:r>
      <w:r>
        <w:rPr>
          <w:rFonts w:hint="eastAsia" w:ascii="仿宋_GB2312" w:hAnsi="仿宋_GB2312" w:eastAsia="仿宋_GB2312" w:cs="仿宋_GB2312"/>
          <w:i w:val="0"/>
          <w:caps w:val="0"/>
          <w:color w:val="333333"/>
          <w:spacing w:val="0"/>
          <w:sz w:val="32"/>
          <w:szCs w:val="32"/>
          <w:shd w:val="clear" w:fill="FFFFFF"/>
          <w:lang w:eastAsia="zh-CN"/>
        </w:rPr>
        <w:t>。</w:t>
      </w:r>
      <w:r>
        <w:rPr>
          <w:rFonts w:hint="eastAsia" w:ascii="仿宋_GB2312" w:hAnsi="仿宋_GB2312" w:eastAsia="仿宋_GB2312" w:cs="仿宋_GB2312"/>
          <w:i w:val="0"/>
          <w:caps w:val="0"/>
          <w:color w:val="333333"/>
          <w:spacing w:val="0"/>
          <w:sz w:val="32"/>
          <w:szCs w:val="32"/>
          <w:shd w:val="clear" w:fill="FFFFFF"/>
          <w:lang w:val="en-US" w:eastAsia="zh-CN"/>
        </w:rPr>
        <w:t>医保经办机构根据实际护理需求，采取遴选确定的方式分批次择优纳入，并与长护服务机构签订服务协议，建立“能进能出”的动态管理机制。</w:t>
      </w:r>
    </w:p>
    <w:p w14:paraId="2487488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0"/>
        <w:jc w:val="left"/>
        <w:textAlignment w:val="auto"/>
        <w:outlineLvl w:val="9"/>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第二十五条</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【运行管理】</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定点长护服务机构应加强行业自律，严格履行长护服务协议，全面实行收费公示和费用清单制度，建立护理服务人员动态管理机制和工作质量考核评价机制，规范服务行为，提高服务质量。</w:t>
      </w:r>
    </w:p>
    <w:p w14:paraId="056D420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0"/>
        <w:jc w:val="left"/>
        <w:textAlignment w:val="auto"/>
        <w:outlineLvl w:val="9"/>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第二十六条</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【服务供给】定点长护服务机构及服务人员</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应为失能人员建立护理服务计划，并按照行业规范提供护理服务。制定的护理服务计划可按照参保人员</w:t>
      </w:r>
      <w:r>
        <w:rPr>
          <w:rFonts w:hint="eastAsia" w:ascii="仿宋_GB2312" w:hAnsi="仿宋_GB2312" w:eastAsia="仿宋_GB2312" w:cs="仿宋_GB2312"/>
          <w:i w:val="0"/>
          <w:iCs w:val="0"/>
          <w:caps w:val="0"/>
          <w:color w:val="auto"/>
          <w:spacing w:val="0"/>
          <w:sz w:val="32"/>
          <w:szCs w:val="32"/>
          <w:u w:val="none"/>
          <w:shd w:val="clear" w:fill="FFFFFF"/>
          <w:lang w:val="en-US" w:eastAsia="zh-CN"/>
        </w:rPr>
        <w:t>失能</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等级或日常状态进行调整，并征求参保人员或其监护人、委托代理人同意后执行。按照“一人一档”要求，做好护理服务全过程记录、护理文书、服务档案等资料的留存归档工作。定点长护服务机构向参保人员提供长护险保障范围外的服务项目应当事先征得参保人员或者其监护人、委托代理人书面同意。</w:t>
      </w:r>
    </w:p>
    <w:p w14:paraId="6C2540A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640"/>
        <w:jc w:val="both"/>
        <w:textAlignment w:val="auto"/>
        <w:rPr>
          <w:rFonts w:hint="eastAsia" w:ascii="黑体" w:hAnsi="黑体" w:eastAsia="黑体" w:cs="黑体"/>
          <w:i w:val="0"/>
          <w:iCs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　</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 xml:space="preserve">             </w:t>
      </w:r>
      <w:r>
        <w:rPr>
          <w:rFonts w:hint="eastAsia" w:ascii="黑体" w:hAnsi="黑体" w:eastAsia="黑体" w:cs="黑体"/>
          <w:i w:val="0"/>
          <w:iCs w:val="0"/>
          <w:caps w:val="0"/>
          <w:color w:val="000000" w:themeColor="text1"/>
          <w:spacing w:val="0"/>
          <w:sz w:val="32"/>
          <w:szCs w:val="32"/>
          <w:u w:val="none"/>
          <w:shd w:val="clear" w:fill="FFFFFF"/>
          <w:lang w:val="en-US" w:eastAsia="zh-CN"/>
          <w14:textFill>
            <w14:solidFill>
              <w14:schemeClr w14:val="tx1"/>
            </w14:solidFill>
          </w14:textFill>
        </w:rPr>
        <w:t>第七章    经办服务管理</w:t>
      </w:r>
    </w:p>
    <w:p w14:paraId="7CB99365">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640"/>
        <w:jc w:val="both"/>
        <w:textAlignment w:val="auto"/>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第</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二十七</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条</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经办职责</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u w:val="none"/>
          <w14:textFill>
            <w14:solidFill>
              <w14:schemeClr w14:val="tx1"/>
            </w14:solidFill>
          </w14:textFill>
        </w:rPr>
        <w:t>市县两级</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医保经办机构</w:t>
      </w:r>
      <w:r>
        <w:rPr>
          <w:rFonts w:hint="eastAsia" w:ascii="仿宋_GB2312" w:hAnsi="仿宋_GB2312" w:eastAsia="仿宋_GB2312" w:cs="仿宋_GB2312"/>
          <w:color w:val="000000" w:themeColor="text1"/>
          <w:sz w:val="32"/>
          <w:szCs w:val="32"/>
          <w:u w:val="none"/>
          <w14:textFill>
            <w14:solidFill>
              <w14:schemeClr w14:val="tx1"/>
            </w14:solidFill>
          </w14:textFill>
        </w:rPr>
        <w:t>负责长护险</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日常经办管理工作，主要职责包括：</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参保登记管理、</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定点评估机构和定点长护服务机构协议管理、核查考核、费用审核结算、信息系统建设以及对第三方机构的考核管理等。</w:t>
      </w:r>
    </w:p>
    <w:p w14:paraId="10B80EE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55"/>
        <w:jc w:val="both"/>
        <w:textAlignment w:val="auto"/>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第</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二十八</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条</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委托经办</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医保经办机构应建立健全经办管理服务体系。</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可通过公开招标等竞争性方式，遴选具备相应资质的社会力量作为第三方机构</w:t>
      </w:r>
      <w:r>
        <w:rPr>
          <w:rFonts w:hint="eastAsia" w:ascii="仿宋_GB2312" w:hAnsi="仿宋_GB2312" w:eastAsia="仿宋_GB2312" w:cs="仿宋_GB2312"/>
          <w:i w:val="0"/>
          <w:iCs w:val="0"/>
          <w:caps w:val="0"/>
          <w:color w:val="000000" w:themeColor="text1"/>
          <w:spacing w:val="0"/>
          <w:kern w:val="0"/>
          <w:sz w:val="32"/>
          <w:szCs w:val="32"/>
          <w:u w:val="none"/>
          <w:shd w:val="clear" w:fill="FFFFFF"/>
          <w:lang w:val="en-US" w:eastAsia="zh-CN" w:bidi="ar"/>
          <w14:textFill>
            <w14:solidFill>
              <w14:schemeClr w14:val="tx1"/>
            </w14:solidFill>
          </w14:textFill>
        </w:rPr>
        <w:t>参与长护险经办服务工作，双方签订</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服务协议，明确彼此的权利、责任和义务，约定服务范围、经办要求、合作方式、服务费用等内容。第三方机构须严格遵守国家和省关于长护险的相关政策规定，遵守经办规程，履行服务协议。</w:t>
      </w:r>
    </w:p>
    <w:p w14:paraId="4B5A8C5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第二十九条</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费用确定</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医保经办机构应综合考虑服务人口、机构运行成本、工作内容合理确定第三方机构的服务费，相关费用依协议约定从基金中支付。</w:t>
      </w:r>
    </w:p>
    <w:p w14:paraId="154F3358">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第三十条</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信息化建设</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医保经办机构依托</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全国统一的医保信息平台长护险子系统</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实现待遇申请、等级评估、护理服务、经办管理、日常监督等一体化管理。</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定点评估机构、定点长护服务机构、第三方机构应按要求接入</w:t>
      </w:r>
      <w:r>
        <w:rPr>
          <w:rFonts w:hint="eastAsia" w:ascii="仿宋_GB2312" w:hAnsi="仿宋_GB2312" w:eastAsia="仿宋_GB2312" w:cs="仿宋_GB2312"/>
          <w:color w:val="000000" w:themeColor="text1"/>
          <w:sz w:val="32"/>
          <w:szCs w:val="32"/>
          <w:u w:val="none"/>
          <w14:textFill>
            <w14:solidFill>
              <w14:schemeClr w14:val="tx1"/>
            </w14:solidFill>
          </w14:textFill>
        </w:rPr>
        <w:t>全市长护险信息管理系统</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，应用统一的长护险功能模块开展工作。建立参保人员健康与服务档案，实行“一人一档”管理，通过信息系统实现评估、服务、经办记录可追溯。</w:t>
      </w:r>
    </w:p>
    <w:p w14:paraId="53A4FA5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黑体" w:hAnsi="黑体" w:eastAsia="黑体" w:cs="黑体"/>
          <w:i w:val="0"/>
          <w:caps w:val="0"/>
          <w:color w:val="000000" w:themeColor="text1"/>
          <w:spacing w:val="0"/>
          <w:sz w:val="32"/>
          <w:szCs w:val="32"/>
          <w:u w:val="none"/>
          <w:shd w:val="clear" w:fill="FFFFFF"/>
          <w14:textFill>
            <w14:solidFill>
              <w14:schemeClr w14:val="tx1"/>
            </w14:solidFill>
          </w14:textFill>
        </w:rPr>
      </w:pPr>
      <w:r>
        <w:rPr>
          <w:rFonts w:hint="eastAsia" w:ascii="黑体" w:hAnsi="黑体" w:eastAsia="黑体" w:cs="黑体"/>
          <w:i w:val="0"/>
          <w:caps w:val="0"/>
          <w:color w:val="000000" w:themeColor="text1"/>
          <w:spacing w:val="0"/>
          <w:sz w:val="32"/>
          <w:szCs w:val="32"/>
          <w:u w:val="none"/>
          <w:shd w:val="clear" w:fill="FFFFFF"/>
          <w:lang w:val="en-US" w:eastAsia="zh-CN"/>
          <w14:textFill>
            <w14:solidFill>
              <w14:schemeClr w14:val="tx1"/>
            </w14:solidFill>
          </w14:textFill>
        </w:rPr>
        <w:t xml:space="preserve">                第八章  监督考核与</w:t>
      </w:r>
      <w:r>
        <w:rPr>
          <w:rFonts w:hint="eastAsia" w:ascii="黑体" w:hAnsi="黑体" w:eastAsia="黑体" w:cs="黑体"/>
          <w:i w:val="0"/>
          <w:caps w:val="0"/>
          <w:color w:val="000000" w:themeColor="text1"/>
          <w:spacing w:val="0"/>
          <w:sz w:val="32"/>
          <w:szCs w:val="32"/>
          <w:u w:val="none"/>
          <w:shd w:val="clear" w:fill="FFFFFF"/>
          <w14:textFill>
            <w14:solidFill>
              <w14:schemeClr w14:val="tx1"/>
            </w14:solidFill>
          </w14:textFill>
        </w:rPr>
        <w:t>管理</w:t>
      </w:r>
    </w:p>
    <w:p w14:paraId="6A8610B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第</w:t>
      </w: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三十一</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条</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【年度考核】</w:t>
      </w:r>
      <w:r>
        <w:rPr>
          <w:rFonts w:hint="eastAsia" w:ascii="仿宋_GB2312" w:hAnsi="仿宋_GB2312" w:eastAsia="仿宋_GB2312" w:cs="仿宋_GB2312"/>
          <w:i w:val="0"/>
          <w:caps w:val="0"/>
          <w:color w:val="000000" w:themeColor="text1"/>
          <w:spacing w:val="0"/>
          <w:sz w:val="32"/>
          <w:szCs w:val="32"/>
          <w:u w:val="none"/>
          <w:shd w:val="clear" w:fill="FFFFFF"/>
          <w:lang w:eastAsia="zh-CN"/>
          <w14:textFill>
            <w14:solidFill>
              <w14:schemeClr w14:val="tx1"/>
            </w14:solidFill>
          </w14:textFill>
        </w:rPr>
        <w:t>医疗保障</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经办机构要每年组织对定点评估机构、定点长护服务机构和第三方机构进行年度考核，考核结果</w:t>
      </w: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按照协议约定处理</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w:t>
      </w:r>
    </w:p>
    <w:p w14:paraId="56DF3E3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b w:val="0"/>
          <w:bCs w:val="0"/>
          <w:i w:val="0"/>
          <w:caps w:val="0"/>
          <w:color w:val="E54C5E" w:themeColor="accent6"/>
          <w:spacing w:val="0"/>
          <w:sz w:val="32"/>
          <w:szCs w:val="32"/>
          <w:u w:val="none"/>
          <w:shd w:val="clear" w:fill="FFFFFF"/>
          <w14:textFill>
            <w14:solidFill>
              <w14:schemeClr w14:val="accent6"/>
            </w14:solidFill>
          </w14:textFill>
        </w:rPr>
      </w:pPr>
      <w:r>
        <w:rPr>
          <w:rFonts w:hint="eastAsia" w:ascii="仿宋_GB2312" w:hAnsi="仿宋_GB2312" w:eastAsia="仿宋_GB2312" w:cs="仿宋_GB2312"/>
          <w:b w:val="0"/>
          <w:bCs w:val="0"/>
          <w:i w:val="0"/>
          <w:caps w:val="0"/>
          <w:color w:val="auto"/>
          <w:spacing w:val="0"/>
          <w:sz w:val="32"/>
          <w:szCs w:val="32"/>
          <w:u w:val="none"/>
          <w:shd w:val="clear" w:fill="FFFFFF"/>
        </w:rPr>
        <w:t>第</w:t>
      </w:r>
      <w:r>
        <w:rPr>
          <w:rFonts w:hint="eastAsia" w:ascii="仿宋_GB2312" w:hAnsi="仿宋_GB2312" w:eastAsia="仿宋_GB2312" w:cs="仿宋_GB2312"/>
          <w:b w:val="0"/>
          <w:bCs w:val="0"/>
          <w:i w:val="0"/>
          <w:caps w:val="0"/>
          <w:color w:val="auto"/>
          <w:spacing w:val="0"/>
          <w:sz w:val="32"/>
          <w:szCs w:val="32"/>
          <w:u w:val="none"/>
          <w:shd w:val="clear" w:fill="FFFFFF"/>
          <w:lang w:val="en-US" w:eastAsia="zh-CN"/>
        </w:rPr>
        <w:t>三十二</w:t>
      </w:r>
      <w:r>
        <w:rPr>
          <w:rFonts w:hint="eastAsia" w:ascii="仿宋_GB2312" w:hAnsi="仿宋_GB2312" w:eastAsia="仿宋_GB2312" w:cs="仿宋_GB2312"/>
          <w:b w:val="0"/>
          <w:bCs w:val="0"/>
          <w:i w:val="0"/>
          <w:caps w:val="0"/>
          <w:color w:val="auto"/>
          <w:spacing w:val="0"/>
          <w:sz w:val="32"/>
          <w:szCs w:val="32"/>
          <w:u w:val="none"/>
          <w:shd w:val="clear" w:fill="FFFFFF"/>
        </w:rPr>
        <w:t>条</w:t>
      </w:r>
      <w:r>
        <w:rPr>
          <w:rFonts w:hint="eastAsia" w:ascii="仿宋_GB2312" w:hAnsi="仿宋_GB2312" w:eastAsia="仿宋_GB2312" w:cs="仿宋_GB2312"/>
          <w:b w:val="0"/>
          <w:bCs w:val="0"/>
          <w:i w:val="0"/>
          <w:iCs w:val="0"/>
          <w:caps w:val="0"/>
          <w:color w:val="auto"/>
          <w:spacing w:val="0"/>
          <w:sz w:val="32"/>
          <w:szCs w:val="32"/>
          <w:u w:val="none"/>
          <w:shd w:val="clear" w:fill="FFFFFF"/>
          <w:lang w:val="en-US" w:eastAsia="zh-CN"/>
        </w:rPr>
        <w:t>【监督管理】</w:t>
      </w:r>
      <w:r>
        <w:rPr>
          <w:rFonts w:hint="eastAsia" w:ascii="仿宋_GB2312" w:hAnsi="仿宋_GB2312" w:eastAsia="仿宋_GB2312" w:cs="仿宋_GB2312"/>
          <w:b w:val="0"/>
          <w:bCs w:val="0"/>
          <w:i w:val="0"/>
          <w:caps w:val="0"/>
          <w:color w:val="auto"/>
          <w:spacing w:val="0"/>
          <w:sz w:val="32"/>
          <w:szCs w:val="32"/>
          <w:u w:val="none"/>
          <w:shd w:val="clear" w:fill="FFFFFF"/>
        </w:rPr>
        <w:t>医保经办机构作为</w:t>
      </w:r>
      <w:r>
        <w:rPr>
          <w:rFonts w:hint="eastAsia" w:ascii="仿宋_GB2312" w:hAnsi="仿宋_GB2312" w:eastAsia="仿宋_GB2312" w:cs="仿宋_GB2312"/>
          <w:b w:val="0"/>
          <w:bCs w:val="0"/>
          <w:i w:val="0"/>
          <w:caps w:val="0"/>
          <w:color w:val="auto"/>
          <w:spacing w:val="0"/>
          <w:sz w:val="32"/>
          <w:szCs w:val="32"/>
          <w:u w:val="none"/>
          <w:shd w:val="clear" w:fill="FFFFFF"/>
          <w:lang w:eastAsia="zh-CN"/>
        </w:rPr>
        <w:t>长护险</w:t>
      </w:r>
      <w:r>
        <w:rPr>
          <w:rFonts w:hint="eastAsia" w:ascii="仿宋_GB2312" w:hAnsi="仿宋_GB2312" w:eastAsia="仿宋_GB2312" w:cs="仿宋_GB2312"/>
          <w:b w:val="0"/>
          <w:bCs w:val="0"/>
          <w:i w:val="0"/>
          <w:caps w:val="0"/>
          <w:color w:val="auto"/>
          <w:spacing w:val="0"/>
          <w:sz w:val="32"/>
          <w:szCs w:val="32"/>
          <w:u w:val="none"/>
          <w:shd w:val="clear" w:fill="FFFFFF"/>
        </w:rPr>
        <w:t>经办工作的实施主体，负责对定点评估机构、定点</w:t>
      </w:r>
      <w:r>
        <w:rPr>
          <w:rFonts w:hint="eastAsia" w:ascii="仿宋_GB2312" w:hAnsi="仿宋_GB2312" w:eastAsia="仿宋_GB2312" w:cs="仿宋_GB2312"/>
          <w:b w:val="0"/>
          <w:bCs w:val="0"/>
          <w:i w:val="0"/>
          <w:caps w:val="0"/>
          <w:color w:val="auto"/>
          <w:spacing w:val="0"/>
          <w:sz w:val="32"/>
          <w:szCs w:val="32"/>
          <w:u w:val="none"/>
          <w:shd w:val="clear" w:fill="FFFFFF"/>
          <w:lang w:eastAsia="zh-CN"/>
        </w:rPr>
        <w:t>长护</w:t>
      </w:r>
      <w:r>
        <w:rPr>
          <w:rFonts w:hint="eastAsia" w:ascii="仿宋_GB2312" w:hAnsi="仿宋_GB2312" w:eastAsia="仿宋_GB2312" w:cs="仿宋_GB2312"/>
          <w:b w:val="0"/>
          <w:bCs w:val="0"/>
          <w:i w:val="0"/>
          <w:caps w:val="0"/>
          <w:color w:val="auto"/>
          <w:spacing w:val="0"/>
          <w:sz w:val="32"/>
          <w:szCs w:val="32"/>
          <w:u w:val="none"/>
          <w:shd w:val="clear" w:fill="FFFFFF"/>
        </w:rPr>
        <w:t>服务机构、第三方机构实施履约情况核查。发挥智能审核作用，加强对</w:t>
      </w:r>
      <w:r>
        <w:rPr>
          <w:rFonts w:hint="eastAsia" w:ascii="仿宋_GB2312" w:hAnsi="仿宋_GB2312" w:eastAsia="仿宋_GB2312" w:cs="仿宋_GB2312"/>
          <w:b w:val="0"/>
          <w:bCs w:val="0"/>
          <w:i w:val="0"/>
          <w:caps w:val="0"/>
          <w:color w:val="auto"/>
          <w:spacing w:val="0"/>
          <w:sz w:val="32"/>
          <w:szCs w:val="32"/>
          <w:u w:val="none"/>
          <w:shd w:val="clear" w:fill="FFFFFF"/>
          <w:lang w:eastAsia="zh-CN"/>
        </w:rPr>
        <w:t>长护险</w:t>
      </w:r>
      <w:r>
        <w:rPr>
          <w:rFonts w:hint="eastAsia" w:ascii="仿宋_GB2312" w:hAnsi="仿宋_GB2312" w:eastAsia="仿宋_GB2312" w:cs="仿宋_GB2312"/>
          <w:b w:val="0"/>
          <w:bCs w:val="0"/>
          <w:i w:val="0"/>
          <w:caps w:val="0"/>
          <w:color w:val="auto"/>
          <w:spacing w:val="0"/>
          <w:sz w:val="32"/>
          <w:szCs w:val="32"/>
          <w:u w:val="none"/>
          <w:shd w:val="clear" w:fill="FFFFFF"/>
        </w:rPr>
        <w:t>基金的运行监测和异常数据筛查。</w:t>
      </w:r>
    </w:p>
    <w:p w14:paraId="726EBF7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第</w:t>
      </w: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三</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十</w:t>
      </w: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三</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条</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【争议处理】</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定点评估机构、定点</w:t>
      </w:r>
      <w:r>
        <w:rPr>
          <w:rFonts w:hint="eastAsia" w:ascii="仿宋_GB2312" w:hAnsi="仿宋_GB2312" w:eastAsia="仿宋_GB2312" w:cs="仿宋_GB2312"/>
          <w:i w:val="0"/>
          <w:caps w:val="0"/>
          <w:color w:val="000000" w:themeColor="text1"/>
          <w:spacing w:val="0"/>
          <w:sz w:val="32"/>
          <w:szCs w:val="32"/>
          <w:u w:val="none"/>
          <w:shd w:val="clear" w:fill="FFFFFF"/>
          <w:lang w:eastAsia="zh-CN"/>
          <w14:textFill>
            <w14:solidFill>
              <w14:schemeClr w14:val="tx1"/>
            </w14:solidFill>
          </w14:textFill>
        </w:rPr>
        <w:t>长护</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服务机构、第三方机构在协议签订、履行、变更、解除及考核</w:t>
      </w:r>
      <w:r>
        <w:rPr>
          <w:rFonts w:hint="eastAsia" w:ascii="仿宋_GB2312" w:hAnsi="仿宋_GB2312" w:eastAsia="仿宋_GB2312" w:cs="仿宋_GB2312"/>
          <w:i w:val="0"/>
          <w:caps w:val="0"/>
          <w:color w:val="000000" w:themeColor="text1"/>
          <w:spacing w:val="0"/>
          <w:sz w:val="32"/>
          <w:szCs w:val="32"/>
          <w:u w:val="none"/>
          <w:shd w:val="clear"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核查等过程中，对医保经办机构的处理决定有争议的，可以向医保行政部门提起申诉，也可依法提起行政复议或行政诉讼。</w:t>
      </w:r>
    </w:p>
    <w:p w14:paraId="4D00C864">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第</w:t>
      </w: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三</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十</w:t>
      </w: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四</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条</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行政</w:t>
      </w: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监管</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医疗保障行政部门</w:t>
      </w: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应</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逐步建立参保人员或其代理人及各类机构信用等级评价管理机制和从业人员的支付资格管理机制。建立举报投诉、信息披露、欺诈防范等风险管理机制。</w:t>
      </w: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充分利用人工智能、大数据技术等手段，</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加强对医保经办机构、定点评估机构、定点</w:t>
      </w:r>
      <w:r>
        <w:rPr>
          <w:rFonts w:hint="eastAsia" w:ascii="仿宋_GB2312" w:hAnsi="仿宋_GB2312" w:eastAsia="仿宋_GB2312" w:cs="仿宋_GB2312"/>
          <w:i w:val="0"/>
          <w:caps w:val="0"/>
          <w:color w:val="000000" w:themeColor="text1"/>
          <w:spacing w:val="0"/>
          <w:sz w:val="32"/>
          <w:szCs w:val="32"/>
          <w:u w:val="none"/>
          <w:shd w:val="clear" w:fill="FFFFFF"/>
          <w:lang w:eastAsia="zh-CN"/>
          <w14:textFill>
            <w14:solidFill>
              <w14:schemeClr w14:val="tx1"/>
            </w14:solidFill>
          </w14:textFill>
        </w:rPr>
        <w:t>长护</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服务机构、第三方机构、参保人员及其代理人、评估人员、护理人员的监督管理。建立健全与行业主管部门联合监管机制，确保</w:t>
      </w:r>
      <w:r>
        <w:rPr>
          <w:rFonts w:hint="eastAsia" w:ascii="仿宋_GB2312" w:hAnsi="仿宋_GB2312" w:eastAsia="仿宋_GB2312" w:cs="仿宋_GB2312"/>
          <w:i w:val="0"/>
          <w:caps w:val="0"/>
          <w:color w:val="000000" w:themeColor="text1"/>
          <w:spacing w:val="0"/>
          <w:sz w:val="32"/>
          <w:szCs w:val="32"/>
          <w:u w:val="none"/>
          <w:shd w:val="clear" w:fill="FFFFFF"/>
          <w:lang w:eastAsia="zh-CN"/>
          <w14:textFill>
            <w14:solidFill>
              <w14:schemeClr w14:val="tx1"/>
            </w14:solidFill>
          </w14:textFill>
        </w:rPr>
        <w:t>长护险</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基金平稳运行和安全有效。</w:t>
      </w:r>
    </w:p>
    <w:p w14:paraId="2EA38F74">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t xml:space="preserve"> 　</w:t>
      </w:r>
      <w:r>
        <w:rPr>
          <w:rFonts w:hint="eastAsia" w:ascii="仿宋_GB2312" w:hAnsi="仿宋_GB2312" w:eastAsia="仿宋_GB2312" w:cs="仿宋_GB2312"/>
          <w:i w:val="0"/>
          <w:iCs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iCs w:val="0"/>
          <w:caps w:val="0"/>
          <w:color w:val="auto"/>
          <w:spacing w:val="0"/>
          <w:sz w:val="32"/>
          <w:szCs w:val="32"/>
          <w:u w:val="none"/>
          <w:shd w:val="clear" w:color="auto" w:fill="FFFFFF"/>
        </w:rPr>
        <w:t>第</w:t>
      </w:r>
      <w:r>
        <w:rPr>
          <w:rFonts w:hint="eastAsia" w:ascii="仿宋_GB2312" w:hAnsi="仿宋_GB2312" w:eastAsia="仿宋_GB2312" w:cs="仿宋_GB2312"/>
          <w:i w:val="0"/>
          <w:iCs w:val="0"/>
          <w:caps w:val="0"/>
          <w:color w:val="auto"/>
          <w:spacing w:val="0"/>
          <w:sz w:val="32"/>
          <w:szCs w:val="32"/>
          <w:u w:val="none"/>
          <w:shd w:val="clear" w:color="auto" w:fill="FFFFFF"/>
          <w:lang w:val="en-US" w:eastAsia="zh-CN"/>
        </w:rPr>
        <w:t>三十五</w:t>
      </w:r>
      <w:r>
        <w:rPr>
          <w:rFonts w:hint="eastAsia" w:ascii="仿宋_GB2312" w:hAnsi="仿宋_GB2312" w:eastAsia="仿宋_GB2312" w:cs="仿宋_GB2312"/>
          <w:i w:val="0"/>
          <w:iCs w:val="0"/>
          <w:caps w:val="0"/>
          <w:color w:val="auto"/>
          <w:spacing w:val="0"/>
          <w:sz w:val="32"/>
          <w:szCs w:val="32"/>
          <w:u w:val="none"/>
          <w:shd w:val="clear" w:color="auto" w:fill="FFFFFF"/>
        </w:rPr>
        <w:t>条</w:t>
      </w:r>
      <w:r>
        <w:rPr>
          <w:rFonts w:hint="eastAsia" w:ascii="仿宋_GB2312" w:hAnsi="仿宋_GB2312" w:eastAsia="仿宋_GB2312" w:cs="仿宋_GB2312"/>
          <w:i w:val="0"/>
          <w:iCs w:val="0"/>
          <w:caps w:val="0"/>
          <w:color w:val="auto"/>
          <w:spacing w:val="0"/>
          <w:sz w:val="32"/>
          <w:szCs w:val="32"/>
          <w:u w:val="none"/>
          <w:shd w:val="clear" w:color="auto" w:fill="FFFFFF"/>
          <w:lang w:eastAsia="zh-CN"/>
        </w:rPr>
        <w:t>【</w:t>
      </w:r>
      <w:r>
        <w:rPr>
          <w:rFonts w:hint="eastAsia" w:ascii="仿宋_GB2312" w:hAnsi="仿宋_GB2312" w:eastAsia="仿宋_GB2312" w:cs="仿宋_GB2312"/>
          <w:i w:val="0"/>
          <w:iCs w:val="0"/>
          <w:caps w:val="0"/>
          <w:color w:val="auto"/>
          <w:spacing w:val="0"/>
          <w:sz w:val="32"/>
          <w:szCs w:val="32"/>
          <w:u w:val="none"/>
          <w:shd w:val="clear" w:color="auto" w:fill="FFFFFF"/>
          <w:lang w:val="en-US" w:eastAsia="zh-CN"/>
        </w:rPr>
        <w:t>法律责任</w:t>
      </w:r>
      <w:r>
        <w:rPr>
          <w:rFonts w:hint="eastAsia" w:ascii="仿宋_GB2312" w:hAnsi="仿宋_GB2312" w:eastAsia="仿宋_GB2312" w:cs="仿宋_GB2312"/>
          <w:i w:val="0"/>
          <w:iCs w:val="0"/>
          <w:caps w:val="0"/>
          <w:color w:val="auto"/>
          <w:spacing w:val="0"/>
          <w:sz w:val="32"/>
          <w:szCs w:val="32"/>
          <w:u w:val="none"/>
          <w:shd w:val="clear" w:color="auto" w:fill="FFFFFF"/>
          <w:lang w:eastAsia="zh-CN"/>
        </w:rPr>
        <w:t>】</w:t>
      </w:r>
      <w:r>
        <w:rPr>
          <w:rFonts w:hint="eastAsia" w:ascii="仿宋_GB2312" w:hAnsi="仿宋_GB2312" w:eastAsia="仿宋_GB2312" w:cs="仿宋_GB2312"/>
          <w:i w:val="0"/>
          <w:iCs w:val="0"/>
          <w:caps w:val="0"/>
          <w:color w:val="000000" w:themeColor="text1"/>
          <w:spacing w:val="0"/>
          <w:sz w:val="32"/>
          <w:szCs w:val="32"/>
          <w:u w:val="none"/>
          <w:shd w:val="clear" w:color="auto" w:fill="FFFFFF"/>
          <w:lang w:eastAsia="zh-CN"/>
          <w14:textFill>
            <w14:solidFill>
              <w14:schemeClr w14:val="tx1"/>
            </w14:solidFill>
          </w14:textFill>
        </w:rPr>
        <w:t>医保</w:t>
      </w:r>
      <w:r>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t>经办机构、</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第三方</w:t>
      </w:r>
      <w:r>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t>机构、</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定点评估机构、</w:t>
      </w:r>
      <w:r>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t>定点护理服务机构的工作人员以及参保人员违反长护险管理规定的，参照相应的法律法规及协议约定进行处理，构成犯罪的，移送司法机关依法追究刑事责任。</w:t>
      </w:r>
    </w:p>
    <w:p w14:paraId="212BBA8B">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Style w:val="6"/>
          <w:rFonts w:hint="eastAsia" w:ascii="黑体" w:hAnsi="黑体" w:eastAsia="黑体" w:cs="黑体"/>
          <w:b w:val="0"/>
          <w:bCs/>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 xml:space="preserve">                     </w:t>
      </w:r>
      <w:r>
        <w:rPr>
          <w:rStyle w:val="6"/>
          <w:rFonts w:hint="eastAsia" w:ascii="黑体" w:hAnsi="黑体" w:eastAsia="黑体" w:cs="黑体"/>
          <w:b w:val="0"/>
          <w:bCs/>
          <w:i w:val="0"/>
          <w:iCs w:val="0"/>
          <w:caps w:val="0"/>
          <w:color w:val="000000" w:themeColor="text1"/>
          <w:spacing w:val="0"/>
          <w:sz w:val="32"/>
          <w:szCs w:val="32"/>
          <w:u w:val="none"/>
          <w:lang w:val="en-US" w:eastAsia="zh-CN"/>
          <w14:textFill>
            <w14:solidFill>
              <w14:schemeClr w14:val="tx1"/>
            </w14:solidFill>
          </w14:textFill>
        </w:rPr>
        <w:t>第九章   附 则</w:t>
      </w:r>
    </w:p>
    <w:p w14:paraId="12F1CDB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第三十六条【部门职责】各地各有关部门要认真贯彻落实党中央、国务院决策部署和省、市工作要求，在组织实施、经费投入、机构编制和人员配置等方面予以支持，稳妥推进改革。加强医保、发改、民政、财政、人社、农业农村、卫生健康、市场监管、残联、税务等部门的协作配合，形成工作合力。医保部门负责牵头做好长护险制度的政策制定、组织实施和统一管理。税务部门负责做好长护险保费征收工作。财政部门负责及时足额安排相关财政补助资金，落实长护险改革相关工作经费，依职责对长护险基金实施财会监督。民政、卫生健康、残联与医保部门共同负责加强保险体系和服务体系协同联动，探索失能等级评估结果跨部门互认机制等工作。民政、财政、医保、残联部门共同做好相关保险与补贴制度的衔接。卫生健康部门负责鼓励基层医疗卫生机构提供长期护理服务，发挥家庭医生在失能等级评估和护理服务计划制定中的作用等。人社部门负责配合做好长期照护师培养培训、长护险与工伤保险衔接、退休人员保费代扣代缴等工作。农业农村部门负责做好防止返贫致贫对象认定工作。残联部门协同做好残疾人参保相关工作。</w:t>
      </w:r>
    </w:p>
    <w:p w14:paraId="3703A61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第三十七条</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【解释部门】</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本细则由</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吕梁市医疗保障</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局负责解释</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，未尽事宜按</w:t>
      </w:r>
      <w:r>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t>国</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家和</w:t>
      </w:r>
      <w:r>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t>省</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有关法律、法规及政策文件执行。</w:t>
      </w:r>
    </w:p>
    <w:p w14:paraId="2FBEF5A6">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第三十八条</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【实施时间】</w:t>
      </w:r>
      <w:r>
        <w:rPr>
          <w:rFonts w:hint="eastAsia" w:ascii="仿宋_GB2312" w:hAnsi="仿宋_GB2312" w:eastAsia="仿宋_GB2312" w:cs="仿宋_GB2312"/>
          <w:i w:val="0"/>
          <w:iCs w:val="0"/>
          <w:caps w:val="0"/>
          <w:color w:val="000000" w:themeColor="text1"/>
          <w:spacing w:val="0"/>
          <w:sz w:val="32"/>
          <w:szCs w:val="32"/>
          <w:u w:val="none"/>
          <w:shd w:val="clear" w:color="auto" w:fill="FFFFFF"/>
          <w14:textFill>
            <w14:solidFill>
              <w14:schemeClr w14:val="tx1"/>
            </w14:solidFill>
          </w14:textFill>
        </w:rPr>
        <w:t>本细则</w:t>
      </w:r>
      <w:r>
        <w:rPr>
          <w:rFonts w:hint="eastAsia" w:ascii="仿宋_GB2312" w:hAnsi="仿宋_GB2312" w:eastAsia="仿宋_GB2312" w:cs="仿宋_GB2312"/>
          <w:i w:val="0"/>
          <w:iCs w:val="0"/>
          <w:caps w:val="0"/>
          <w:color w:val="000000" w:themeColor="text1"/>
          <w:spacing w:val="0"/>
          <w:sz w:val="32"/>
          <w:szCs w:val="32"/>
          <w:u w:val="none"/>
          <w:shd w:val="clear" w:color="auto" w:fill="FFFFFF"/>
          <w:lang w:val="en-US" w:eastAsia="zh-CN"/>
          <w14:textFill>
            <w14:solidFill>
              <w14:schemeClr w14:val="tx1"/>
            </w14:solidFill>
          </w14:textFill>
        </w:rPr>
        <w:t>自2027年  月   日起试行，有效期5年</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w:t>
      </w:r>
    </w:p>
    <w:p w14:paraId="38664DB9"/>
    <w:sectPr>
      <w:footerReference r:id="rId3" w:type="default"/>
      <w:pgSz w:w="11906" w:h="16838"/>
      <w:pgMar w:top="1984" w:right="1474" w:bottom="1701" w:left="1587" w:header="851" w:footer="992" w:gutter="0"/>
      <w:pgNumType w:fmt="numberInDash"/>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5CC0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11A7CF">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C11A7CF">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6F216B"/>
    <w:multiLevelType w:val="singleLevel"/>
    <w:tmpl w:val="6A6F216B"/>
    <w:lvl w:ilvl="0" w:tentative="0">
      <w:start w:val="12"/>
      <w:numFmt w:val="chineseCounting"/>
      <w:suff w:val="nothing"/>
      <w:lvlText w:val="第%1条"/>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083A73"/>
    <w:rsid w:val="00311A5F"/>
    <w:rsid w:val="006360BD"/>
    <w:rsid w:val="00A3470B"/>
    <w:rsid w:val="02FC73C0"/>
    <w:rsid w:val="0366390F"/>
    <w:rsid w:val="04446205"/>
    <w:rsid w:val="0458580D"/>
    <w:rsid w:val="05EC3D81"/>
    <w:rsid w:val="069D530B"/>
    <w:rsid w:val="08F17843"/>
    <w:rsid w:val="097C3D4B"/>
    <w:rsid w:val="09F41145"/>
    <w:rsid w:val="0B114E13"/>
    <w:rsid w:val="0B1F7084"/>
    <w:rsid w:val="0C7D0506"/>
    <w:rsid w:val="0DE530BF"/>
    <w:rsid w:val="0E876F29"/>
    <w:rsid w:val="0EB20415"/>
    <w:rsid w:val="0EEC76C9"/>
    <w:rsid w:val="0F024CF3"/>
    <w:rsid w:val="0FDF3286"/>
    <w:rsid w:val="100B5E29"/>
    <w:rsid w:val="10B60905"/>
    <w:rsid w:val="11083A73"/>
    <w:rsid w:val="11405FA6"/>
    <w:rsid w:val="121835CF"/>
    <w:rsid w:val="12EB6EB3"/>
    <w:rsid w:val="14014700"/>
    <w:rsid w:val="14E37288"/>
    <w:rsid w:val="14E54AE3"/>
    <w:rsid w:val="17B01F71"/>
    <w:rsid w:val="199926F8"/>
    <w:rsid w:val="1A646862"/>
    <w:rsid w:val="1A78055F"/>
    <w:rsid w:val="1A931013"/>
    <w:rsid w:val="1AA66E7A"/>
    <w:rsid w:val="1CE90FF1"/>
    <w:rsid w:val="1DEA21E6"/>
    <w:rsid w:val="1E2A1B70"/>
    <w:rsid w:val="1EC04283"/>
    <w:rsid w:val="1F75506D"/>
    <w:rsid w:val="20227B67"/>
    <w:rsid w:val="21632796"/>
    <w:rsid w:val="23063E25"/>
    <w:rsid w:val="230A1F70"/>
    <w:rsid w:val="24BE1264"/>
    <w:rsid w:val="253B6D95"/>
    <w:rsid w:val="262862AB"/>
    <w:rsid w:val="27595274"/>
    <w:rsid w:val="27976BE5"/>
    <w:rsid w:val="279D33B3"/>
    <w:rsid w:val="27F16643"/>
    <w:rsid w:val="28D41056"/>
    <w:rsid w:val="290F5877"/>
    <w:rsid w:val="299552C5"/>
    <w:rsid w:val="299A4928"/>
    <w:rsid w:val="2A027E45"/>
    <w:rsid w:val="2A1C5B3D"/>
    <w:rsid w:val="2A9371E1"/>
    <w:rsid w:val="2BA80578"/>
    <w:rsid w:val="2E642E7C"/>
    <w:rsid w:val="2E9A09C9"/>
    <w:rsid w:val="2ECE6548"/>
    <w:rsid w:val="2FCA1374"/>
    <w:rsid w:val="2FE10DC5"/>
    <w:rsid w:val="302A1EA4"/>
    <w:rsid w:val="303E4BE9"/>
    <w:rsid w:val="30567280"/>
    <w:rsid w:val="30B84AB1"/>
    <w:rsid w:val="33DE0FDB"/>
    <w:rsid w:val="34DD74E5"/>
    <w:rsid w:val="34EA39B0"/>
    <w:rsid w:val="35E356FE"/>
    <w:rsid w:val="36064819"/>
    <w:rsid w:val="36A52A0C"/>
    <w:rsid w:val="37467F5F"/>
    <w:rsid w:val="38580775"/>
    <w:rsid w:val="390B0D25"/>
    <w:rsid w:val="39BA6046"/>
    <w:rsid w:val="3A4C13D5"/>
    <w:rsid w:val="3AAB6A4F"/>
    <w:rsid w:val="3ADB0022"/>
    <w:rsid w:val="3B110586"/>
    <w:rsid w:val="3C002440"/>
    <w:rsid w:val="3D19696A"/>
    <w:rsid w:val="3E317B26"/>
    <w:rsid w:val="3EB2553E"/>
    <w:rsid w:val="3F4F0275"/>
    <w:rsid w:val="40B7508E"/>
    <w:rsid w:val="40D479EE"/>
    <w:rsid w:val="41EE4B08"/>
    <w:rsid w:val="422B7AE1"/>
    <w:rsid w:val="4245142A"/>
    <w:rsid w:val="43413206"/>
    <w:rsid w:val="45AD2F03"/>
    <w:rsid w:val="46207231"/>
    <w:rsid w:val="4629258A"/>
    <w:rsid w:val="48E924A4"/>
    <w:rsid w:val="4B0215FB"/>
    <w:rsid w:val="4BC62629"/>
    <w:rsid w:val="4C1C66ED"/>
    <w:rsid w:val="4E0631B0"/>
    <w:rsid w:val="4E45017D"/>
    <w:rsid w:val="4FD71F61"/>
    <w:rsid w:val="505C355C"/>
    <w:rsid w:val="50C412DF"/>
    <w:rsid w:val="50D77086"/>
    <w:rsid w:val="5254736B"/>
    <w:rsid w:val="53A306E3"/>
    <w:rsid w:val="53C92279"/>
    <w:rsid w:val="548748FE"/>
    <w:rsid w:val="56464A92"/>
    <w:rsid w:val="574714BE"/>
    <w:rsid w:val="57CA16F3"/>
    <w:rsid w:val="58247055"/>
    <w:rsid w:val="59253085"/>
    <w:rsid w:val="59D66A4B"/>
    <w:rsid w:val="5A0500EC"/>
    <w:rsid w:val="5B1C5CF2"/>
    <w:rsid w:val="5BF1724E"/>
    <w:rsid w:val="5C545A2F"/>
    <w:rsid w:val="5D722610"/>
    <w:rsid w:val="5EB10F16"/>
    <w:rsid w:val="60FE64C3"/>
    <w:rsid w:val="61286F8F"/>
    <w:rsid w:val="643E149E"/>
    <w:rsid w:val="65D47AA1"/>
    <w:rsid w:val="65E10333"/>
    <w:rsid w:val="65F34887"/>
    <w:rsid w:val="666A657B"/>
    <w:rsid w:val="672B12BE"/>
    <w:rsid w:val="673B1CC5"/>
    <w:rsid w:val="67502824"/>
    <w:rsid w:val="67F0211E"/>
    <w:rsid w:val="68466B73"/>
    <w:rsid w:val="68B37FA2"/>
    <w:rsid w:val="69EC7A0A"/>
    <w:rsid w:val="6AB2229E"/>
    <w:rsid w:val="6B7B253A"/>
    <w:rsid w:val="6BB27448"/>
    <w:rsid w:val="6BBB33D4"/>
    <w:rsid w:val="6D6963D3"/>
    <w:rsid w:val="6DAB2028"/>
    <w:rsid w:val="6E6D5157"/>
    <w:rsid w:val="6F424141"/>
    <w:rsid w:val="707A560C"/>
    <w:rsid w:val="70A8129E"/>
    <w:rsid w:val="713B4199"/>
    <w:rsid w:val="71AD00E3"/>
    <w:rsid w:val="71B66B18"/>
    <w:rsid w:val="722E11FB"/>
    <w:rsid w:val="776E201C"/>
    <w:rsid w:val="77E617D9"/>
    <w:rsid w:val="78B611AB"/>
    <w:rsid w:val="7AA63CCA"/>
    <w:rsid w:val="7ABB7049"/>
    <w:rsid w:val="7CB1685A"/>
    <w:rsid w:val="7D545437"/>
    <w:rsid w:val="7D945757"/>
    <w:rsid w:val="7DBA34EC"/>
    <w:rsid w:val="7E2412AD"/>
    <w:rsid w:val="7E576F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5694</Words>
  <Characters>5806</Characters>
  <Lines>0</Lines>
  <Paragraphs>0</Paragraphs>
  <TotalTime>23</TotalTime>
  <ScaleCrop>false</ScaleCrop>
  <LinksUpToDate>false</LinksUpToDate>
  <CharactersWithSpaces>5968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2026-06-30T04:00:00Z</dcterms:created>
  <dc:creator>hiii</dc:creator>
  <cp:lastModifiedBy>lenovo</cp:lastModifiedBy>
  <cp:lastPrinted>2026-08-10T01:47:52Z</cp:lastPrinted>
  <dcterms:modified xsi:type="dcterms:W3CDTF">2026-08-10T03:53:17Z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2271408D8D164607AA34C2DD18CA0B40_13</vt:lpwstr>
  </property>
  <property fmtid="{D5CDD505-2E9C-101B-9397-08002B2CF9AE}" pid="4" name="KSOTemplateDocerSaveRecord">
    <vt:lpwstr>eyJoZGlkIjoiZmFmNjI4MGY4OGRjZTcxOTNiYWE1YmUzZDdlZDE2NGEiLCJ1c2VySWQiOiI2NzcyODU4ODgifQ==</vt:lpwstr>
  </property>
</Properties>
</file>