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</w:pPr>
      <w:bookmarkStart w:id="0" w:name="_Toc315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  <w:t>中阳县市场监督管理局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  <w:t>行政处罚自由裁量权基准制度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第一条  为规范行政处罚行为，促进依法行政、合理行政，保证行政处罚的公平、公正，根据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"javascript:gotoAct(28714,%200)"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《行政处罚法》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、《市场监督管理行政处罚程序规定》、《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山西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省规范行政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执法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裁量权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国家市场局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关于规范市场监督管理行政处罚裁量权的指导意见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规定，结合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中阳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县经济社会发展水平，制定本基准制度。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第二条  县市场监督管理局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各办案机构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在实施行政处罚行使自由裁量权时，适用本基准制度。</w:t>
      </w:r>
      <w:bookmarkStart w:id="1" w:name="3"/>
      <w:bookmarkEnd w:id="1"/>
      <w:bookmarkStart w:id="2" w:name="I6454458"/>
      <w:bookmarkEnd w:id="2"/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第三条  本办法所称市场监督管理行政处罚自由裁量权，是指县市场监督管理局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各办案机构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实施行政处罚时，对行政处罚的种类、幅度、时限等依法进行自主裁量和选择适用的权利。</w:t>
      </w:r>
      <w:bookmarkStart w:id="3" w:name="I6454459"/>
      <w:bookmarkEnd w:id="3"/>
      <w:bookmarkStart w:id="4" w:name="4"/>
      <w:bookmarkEnd w:id="4"/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第四条  县市场监督管理局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各办案机构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应当按照法律、法规、规章的规定，在法定权限内，正确行使行政处罚自由裁量权。</w:t>
      </w:r>
      <w:bookmarkStart w:id="5" w:name="I6454460"/>
      <w:bookmarkEnd w:id="5"/>
      <w:bookmarkStart w:id="6" w:name="5"/>
      <w:bookmarkEnd w:id="6"/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第五条  行使行政处罚自由裁量权应当符合立法目的，采取的措施应当必要、适当；可以采用多种措施实现行政目的的，应当选择有利于公民、法人或者其他组织权益的措施。</w:t>
      </w:r>
      <w:bookmarkStart w:id="7" w:name="6"/>
      <w:bookmarkEnd w:id="7"/>
      <w:bookmarkStart w:id="8" w:name="I6454461"/>
      <w:bookmarkEnd w:id="8"/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第六条  行使行政处罚自由裁量权，要依据违法行为的事实、性质、情节和社会危害后果等，选择处罚的种类和幅度，作出的行政处罚要与违法行为相当。</w:t>
      </w:r>
      <w:bookmarkStart w:id="9" w:name="I6454462"/>
      <w:bookmarkEnd w:id="9"/>
      <w:bookmarkStart w:id="10" w:name="7"/>
      <w:bookmarkEnd w:id="10"/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第七条  行使行政处罚自由裁量权时，应当平等对待公民、法人或者其他组织，不得歧视，排除不相关因素干扰。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同一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办案机构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对于性质相同、情节相似、社会危害程度相当的同类案件实施行政处罚时，适用的法律依据、处罚种类应当相同，处罚幅度基本相当。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对同一违法案件的多个当事人实施行政处罚时，应当区分不同情节及其在违法活动中所起的作用，分别确定相应的处罚种类和幅度。</w:t>
      </w:r>
      <w:bookmarkStart w:id="11" w:name="I6454463"/>
      <w:bookmarkEnd w:id="11"/>
      <w:bookmarkStart w:id="12" w:name="8"/>
      <w:bookmarkEnd w:id="12"/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第八条  行使行政处罚自由裁量权应当做到处罚与教育相结合，教育公民、法人或者其他组织自觉守法。</w:t>
      </w:r>
      <w:bookmarkStart w:id="13" w:name="I6454464"/>
      <w:bookmarkEnd w:id="13"/>
      <w:bookmarkStart w:id="14" w:name="9"/>
      <w:bookmarkEnd w:id="14"/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第九条  行使行政处罚自由裁量权必须遵循法定的程序，依法保障当事人的陈述权、申辩权和救济权。</w:t>
      </w:r>
      <w:bookmarkStart w:id="15" w:name="I6454465"/>
      <w:bookmarkEnd w:id="15"/>
      <w:bookmarkStart w:id="16" w:name="10"/>
      <w:bookmarkEnd w:id="16"/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第十条  行使行政处罚自由裁量权时，要根据执法目的、法律原则，综合、全面考虑案件的相关情节和社会影响，结合当地的经济、社会、文化的客观差异，适当进行裁量。</w:t>
      </w:r>
      <w:bookmarkStart w:id="17" w:name="11"/>
      <w:bookmarkEnd w:id="17"/>
      <w:bookmarkStart w:id="18" w:name="I6454466"/>
      <w:bookmarkEnd w:id="18"/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第十一条  实施行政处罚时，应当责令当事人立即改正或者限期改正违法行为。法律、法规、规章规定应当首先责令改正或责令限期改正，逾期不改正方能实施行政处罚的，不得直接实施处罚。</w:t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　　法律法规对责令限期改正没有明确规定期限的，应当确定合理的具体期限。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第十二条  本制度自印发之日起施行。</w:t>
      </w:r>
      <w:bookmarkStart w:id="19" w:name="_GoBack"/>
      <w:bookmarkEnd w:id="19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YTYwZWFmZTBiYzgzOTgwNzI1MzA3MmEwYWM3NDcifQ=="/>
  </w:docVars>
  <w:rsids>
    <w:rsidRoot w:val="00E87730"/>
    <w:rsid w:val="003D35B7"/>
    <w:rsid w:val="00A45E3E"/>
    <w:rsid w:val="00A61C85"/>
    <w:rsid w:val="00AF126A"/>
    <w:rsid w:val="00E87730"/>
    <w:rsid w:val="00F44A5A"/>
    <w:rsid w:val="40A73CD0"/>
    <w:rsid w:val="526B2C72"/>
    <w:rsid w:val="683F505A"/>
    <w:rsid w:val="74E4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897</Characters>
  <Lines>7</Lines>
  <Paragraphs>2</Paragraphs>
  <TotalTime>8</TotalTime>
  <ScaleCrop>false</ScaleCrop>
  <LinksUpToDate>false</LinksUpToDate>
  <CharactersWithSpaces>1052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2023-08-08T11:57:00Z</dcterms:created>
  <dc:creator>Administrator</dc:creator>
  <cp:lastModifiedBy>中阳市监局公文收发员（乔晓霞）</cp:lastModifiedBy>
  <dcterms:modified xsi:type="dcterms:W3CDTF">2024-01-10T07:38:39Z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5CB1195170B542A8BF5DA9DD9E57759F_13</vt:lpwstr>
  </property>
</Properties>
</file>